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A3EA2">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w:t>
      </w:r>
      <w:r>
        <w:rPr>
          <w:rFonts w:ascii="Arial" w:hAnsi="Arial"/>
          <w:b/>
          <w:i/>
          <w:sz w:val="28"/>
        </w:rPr>
        <w:tab/>
      </w:r>
      <w:r>
        <w:rPr>
          <w:rFonts w:hint="eastAsia" w:ascii="Arial" w:hAnsi="Arial"/>
          <w:b/>
          <w:sz w:val="24"/>
          <w:lang w:val="en-US" w:eastAsia="zh-CN"/>
        </w:rPr>
        <w:t>R3-244753</w:t>
      </w:r>
    </w:p>
    <w:p w14:paraId="3D9A3EA3">
      <w:pPr>
        <w:pStyle w:val="94"/>
        <w:outlineLvl w:val="0"/>
        <w:rPr>
          <w:b/>
          <w:sz w:val="24"/>
        </w:rPr>
      </w:pPr>
      <w:r>
        <w:rPr>
          <w:rFonts w:hint="eastAsia" w:eastAsia="宋体"/>
          <w:b/>
          <w:sz w:val="24"/>
          <w:lang w:val="en-US" w:eastAsia="zh-CN"/>
        </w:rPr>
        <w:t>Maastricht, Netherlands, 19-23 Aug</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D9A3EA5">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14:paraId="3D9A3EA4">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14:paraId="3D9A3E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A6">
            <w:pPr>
              <w:pStyle w:val="94"/>
              <w:spacing w:after="0"/>
              <w:jc w:val="center"/>
            </w:pPr>
            <w:r>
              <w:rPr>
                <w:b/>
                <w:sz w:val="32"/>
              </w:rPr>
              <w:t>CHANGE REQUEST</w:t>
            </w:r>
          </w:p>
        </w:tc>
      </w:tr>
      <w:tr w14:paraId="3D9A3EA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A8">
            <w:pPr>
              <w:pStyle w:val="94"/>
              <w:spacing w:after="0"/>
              <w:rPr>
                <w:sz w:val="8"/>
                <w:szCs w:val="8"/>
              </w:rPr>
            </w:pPr>
          </w:p>
        </w:tc>
      </w:tr>
      <w:tr w14:paraId="3D9A3EB3">
        <w:tblPrEx>
          <w:tblCellMar>
            <w:top w:w="0" w:type="dxa"/>
            <w:left w:w="42" w:type="dxa"/>
            <w:bottom w:w="0" w:type="dxa"/>
            <w:right w:w="42" w:type="dxa"/>
          </w:tblCellMar>
        </w:tblPrEx>
        <w:tc>
          <w:tcPr>
            <w:tcW w:w="142" w:type="dxa"/>
            <w:tcBorders>
              <w:left w:val="single" w:color="auto" w:sz="4" w:space="0"/>
            </w:tcBorders>
            <w:shd w:val="clear" w:color="auto" w:fill="auto"/>
          </w:tcPr>
          <w:p w14:paraId="3D9A3EAA">
            <w:pPr>
              <w:pStyle w:val="94"/>
              <w:spacing w:after="0"/>
              <w:jc w:val="right"/>
            </w:pPr>
          </w:p>
        </w:tc>
        <w:tc>
          <w:tcPr>
            <w:tcW w:w="1559" w:type="dxa"/>
            <w:shd w:val="pct30" w:color="FFFF00" w:fill="auto"/>
          </w:tcPr>
          <w:p w14:paraId="3D9A3EAB">
            <w:pPr>
              <w:pStyle w:val="94"/>
              <w:spacing w:after="0"/>
              <w:jc w:val="right"/>
              <w:rPr>
                <w:rFonts w:eastAsia="宋体"/>
                <w:b/>
                <w:sz w:val="28"/>
                <w:lang w:val="en-US" w:eastAsia="zh-CN"/>
              </w:rPr>
            </w:pPr>
            <w:r>
              <w:rPr>
                <w:rFonts w:hint="eastAsia" w:eastAsia="宋体"/>
                <w:b/>
                <w:sz w:val="28"/>
                <w:lang w:val="en-US" w:eastAsia="zh-CN"/>
              </w:rPr>
              <w:t>38.401</w:t>
            </w:r>
          </w:p>
        </w:tc>
        <w:tc>
          <w:tcPr>
            <w:tcW w:w="709" w:type="dxa"/>
            <w:shd w:val="clear" w:color="auto" w:fill="auto"/>
          </w:tcPr>
          <w:p w14:paraId="3D9A3EAC">
            <w:pPr>
              <w:pStyle w:val="94"/>
              <w:spacing w:after="0"/>
              <w:jc w:val="center"/>
            </w:pPr>
            <w:r>
              <w:rPr>
                <w:b/>
                <w:sz w:val="28"/>
              </w:rPr>
              <w:t>CR</w:t>
            </w:r>
          </w:p>
        </w:tc>
        <w:tc>
          <w:tcPr>
            <w:tcW w:w="1276" w:type="dxa"/>
            <w:shd w:val="pct30" w:color="FFFF00" w:fill="auto"/>
          </w:tcPr>
          <w:p w14:paraId="3D9A3EAD">
            <w:pPr>
              <w:pStyle w:val="94"/>
              <w:spacing w:after="0"/>
              <w:rPr>
                <w:rFonts w:eastAsia="宋体"/>
                <w:lang w:val="en-US" w:eastAsia="zh-CN"/>
              </w:rPr>
            </w:pPr>
            <w:r>
              <w:rPr>
                <w:b/>
                <w:sz w:val="28"/>
              </w:rPr>
              <w:t xml:space="preserve"> </w:t>
            </w:r>
            <w:r>
              <w:rPr>
                <w:rFonts w:hint="eastAsia"/>
                <w:b/>
                <w:sz w:val="28"/>
                <w:lang w:val="en-US" w:eastAsia="zh-CN"/>
              </w:rPr>
              <w:t xml:space="preserve"> 0425</w:t>
            </w:r>
          </w:p>
        </w:tc>
        <w:tc>
          <w:tcPr>
            <w:tcW w:w="709" w:type="dxa"/>
            <w:shd w:val="clear" w:color="auto" w:fill="auto"/>
          </w:tcPr>
          <w:p w14:paraId="3D9A3EAE">
            <w:pPr>
              <w:pStyle w:val="94"/>
              <w:tabs>
                <w:tab w:val="right" w:pos="625"/>
              </w:tabs>
              <w:spacing w:after="0"/>
              <w:jc w:val="center"/>
            </w:pPr>
            <w:r>
              <w:rPr>
                <w:b/>
                <w:bCs/>
                <w:sz w:val="28"/>
              </w:rPr>
              <w:t>rev</w:t>
            </w:r>
          </w:p>
        </w:tc>
        <w:tc>
          <w:tcPr>
            <w:tcW w:w="992" w:type="dxa"/>
            <w:shd w:val="pct30" w:color="FFFF00" w:fill="auto"/>
          </w:tcPr>
          <w:p w14:paraId="3D9A3EAF">
            <w:pPr>
              <w:pStyle w:val="94"/>
              <w:spacing w:after="0"/>
              <w:jc w:val="center"/>
              <w:rPr>
                <w:rFonts w:eastAsia="宋体"/>
                <w:b/>
                <w:lang w:val="en-US" w:eastAsia="zh-CN"/>
              </w:rPr>
            </w:pPr>
            <w:r>
              <w:rPr>
                <w:rFonts w:hint="eastAsia"/>
                <w:b/>
                <w:sz w:val="28"/>
                <w:lang w:val="en-US" w:eastAsia="zh-CN"/>
              </w:rPr>
              <w:t>1</w:t>
            </w:r>
          </w:p>
        </w:tc>
        <w:tc>
          <w:tcPr>
            <w:tcW w:w="2410" w:type="dxa"/>
            <w:shd w:val="clear" w:color="auto" w:fill="auto"/>
          </w:tcPr>
          <w:p w14:paraId="3D9A3EB0">
            <w:pPr>
              <w:pStyle w:val="94"/>
              <w:tabs>
                <w:tab w:val="right" w:pos="1825"/>
              </w:tabs>
              <w:spacing w:after="0"/>
              <w:jc w:val="center"/>
            </w:pPr>
            <w:r>
              <w:rPr>
                <w:b/>
                <w:sz w:val="28"/>
                <w:szCs w:val="28"/>
              </w:rPr>
              <w:t>Current version:</w:t>
            </w:r>
          </w:p>
        </w:tc>
        <w:tc>
          <w:tcPr>
            <w:tcW w:w="1701" w:type="dxa"/>
            <w:shd w:val="pct30" w:color="FFFF00" w:fill="auto"/>
          </w:tcPr>
          <w:p w14:paraId="3D9A3EB1">
            <w:pPr>
              <w:pStyle w:val="94"/>
              <w:spacing w:after="0"/>
              <w:jc w:val="center"/>
              <w:rPr>
                <w:rFonts w:eastAsia="宋体"/>
                <w:sz w:val="28"/>
                <w:lang w:val="en-US" w:eastAsia="zh-CN"/>
              </w:rPr>
            </w:pPr>
            <w:r>
              <w:rPr>
                <w:rFonts w:hint="eastAsia"/>
                <w:b/>
                <w:sz w:val="28"/>
                <w:lang w:val="en-US" w:eastAsia="zh-CN"/>
              </w:rPr>
              <w:t>18.2.0</w:t>
            </w:r>
          </w:p>
        </w:tc>
        <w:tc>
          <w:tcPr>
            <w:tcW w:w="143" w:type="dxa"/>
            <w:tcBorders>
              <w:right w:val="single" w:color="auto" w:sz="4" w:space="0"/>
            </w:tcBorders>
          </w:tcPr>
          <w:p w14:paraId="3D9A3EB2">
            <w:pPr>
              <w:pStyle w:val="94"/>
              <w:spacing w:after="0"/>
            </w:pPr>
          </w:p>
        </w:tc>
      </w:tr>
      <w:tr w14:paraId="3D9A3EB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B4">
            <w:pPr>
              <w:pStyle w:val="94"/>
              <w:spacing w:after="0"/>
            </w:pPr>
          </w:p>
        </w:tc>
      </w:tr>
      <w:tr w14:paraId="3D9A3EB7">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14:paraId="3D9A3EB6">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3D9A3EB9">
        <w:tblPrEx>
          <w:tblCellMar>
            <w:top w:w="0" w:type="dxa"/>
            <w:left w:w="42" w:type="dxa"/>
            <w:bottom w:w="0" w:type="dxa"/>
            <w:right w:w="42" w:type="dxa"/>
          </w:tblCellMar>
        </w:tblPrEx>
        <w:tc>
          <w:tcPr>
            <w:tcW w:w="9641" w:type="dxa"/>
            <w:gridSpan w:val="9"/>
          </w:tcPr>
          <w:p w14:paraId="3D9A3EB8">
            <w:pPr>
              <w:pStyle w:val="94"/>
              <w:spacing w:after="0"/>
              <w:rPr>
                <w:sz w:val="8"/>
                <w:szCs w:val="8"/>
              </w:rPr>
            </w:pPr>
          </w:p>
        </w:tc>
      </w:tr>
    </w:tbl>
    <w:p w14:paraId="3D9A3EBA">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D9A3EC4">
        <w:tblPrEx>
          <w:tblCellMar>
            <w:top w:w="0" w:type="dxa"/>
            <w:left w:w="42" w:type="dxa"/>
            <w:bottom w:w="0" w:type="dxa"/>
            <w:right w:w="42" w:type="dxa"/>
          </w:tblCellMar>
        </w:tblPrEx>
        <w:tc>
          <w:tcPr>
            <w:tcW w:w="2835" w:type="dxa"/>
            <w:shd w:val="clear" w:color="auto" w:fill="auto"/>
          </w:tcPr>
          <w:p w14:paraId="3D9A3EBB">
            <w:pPr>
              <w:pStyle w:val="94"/>
              <w:tabs>
                <w:tab w:val="right" w:pos="2751"/>
              </w:tabs>
              <w:spacing w:after="0"/>
              <w:rPr>
                <w:b/>
                <w:i/>
              </w:rPr>
            </w:pPr>
            <w:r>
              <w:rPr>
                <w:b/>
                <w:i/>
              </w:rPr>
              <w:t>Proposed change affects:</w:t>
            </w:r>
          </w:p>
        </w:tc>
        <w:tc>
          <w:tcPr>
            <w:tcW w:w="1418" w:type="dxa"/>
            <w:shd w:val="clear" w:color="auto" w:fill="auto"/>
          </w:tcPr>
          <w:p w14:paraId="3D9A3EBC">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D9A3EBD">
            <w:pPr>
              <w:pStyle w:val="94"/>
              <w:spacing w:after="0"/>
              <w:jc w:val="center"/>
              <w:rPr>
                <w:b/>
                <w:caps/>
              </w:rPr>
            </w:pPr>
          </w:p>
        </w:tc>
        <w:tc>
          <w:tcPr>
            <w:tcW w:w="709" w:type="dxa"/>
            <w:tcBorders>
              <w:left w:val="single" w:color="auto" w:sz="4" w:space="0"/>
            </w:tcBorders>
            <w:shd w:val="clear" w:color="auto" w:fill="auto"/>
          </w:tcPr>
          <w:p w14:paraId="3D9A3EBE">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D9A3EBF">
            <w:pPr>
              <w:pStyle w:val="94"/>
              <w:spacing w:after="0"/>
              <w:jc w:val="center"/>
              <w:rPr>
                <w:b/>
                <w:caps/>
              </w:rPr>
            </w:pPr>
          </w:p>
        </w:tc>
        <w:tc>
          <w:tcPr>
            <w:tcW w:w="2126" w:type="dxa"/>
            <w:shd w:val="clear" w:color="auto" w:fill="auto"/>
          </w:tcPr>
          <w:p w14:paraId="3D9A3EC0">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9A3EC1">
            <w:pPr>
              <w:pStyle w:val="94"/>
              <w:spacing w:after="0"/>
              <w:jc w:val="center"/>
              <w:rPr>
                <w:b/>
                <w:caps/>
              </w:rPr>
            </w:pPr>
            <w:r>
              <w:rPr>
                <w:b/>
                <w:caps/>
              </w:rPr>
              <w:t>X</w:t>
            </w:r>
          </w:p>
        </w:tc>
        <w:tc>
          <w:tcPr>
            <w:tcW w:w="1418" w:type="dxa"/>
            <w:tcBorders>
              <w:left w:val="nil"/>
            </w:tcBorders>
            <w:shd w:val="clear" w:color="auto" w:fill="auto"/>
          </w:tcPr>
          <w:p w14:paraId="3D9A3EC2">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D9A3EC3">
            <w:pPr>
              <w:pStyle w:val="94"/>
              <w:spacing w:after="0"/>
              <w:jc w:val="center"/>
              <w:rPr>
                <w:b/>
                <w:bCs/>
                <w:caps/>
              </w:rPr>
            </w:pPr>
          </w:p>
        </w:tc>
      </w:tr>
    </w:tbl>
    <w:p w14:paraId="3D9A3EC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9A3EC7">
        <w:tblPrEx>
          <w:tblCellMar>
            <w:top w:w="0" w:type="dxa"/>
            <w:left w:w="42" w:type="dxa"/>
            <w:bottom w:w="0" w:type="dxa"/>
            <w:right w:w="42" w:type="dxa"/>
          </w:tblCellMar>
        </w:tblPrEx>
        <w:tc>
          <w:tcPr>
            <w:tcW w:w="9640" w:type="dxa"/>
            <w:gridSpan w:val="11"/>
          </w:tcPr>
          <w:p w14:paraId="3D9A3EC6">
            <w:pPr>
              <w:pStyle w:val="94"/>
              <w:spacing w:after="0"/>
              <w:rPr>
                <w:sz w:val="8"/>
                <w:szCs w:val="8"/>
              </w:rPr>
            </w:pPr>
          </w:p>
        </w:tc>
      </w:tr>
      <w:tr w14:paraId="3D9A3ECA">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14:paraId="3D9A3EC8">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9A3EC9">
            <w:pPr>
              <w:pStyle w:val="94"/>
              <w:spacing w:after="0"/>
              <w:ind w:left="100"/>
              <w:rPr>
                <w:rFonts w:eastAsia="宋体"/>
                <w:lang w:val="en-US" w:eastAsia="zh-CN"/>
              </w:rPr>
            </w:pPr>
            <w:r>
              <w:rPr>
                <w:lang w:val="en-US" w:eastAsia="zh-CN"/>
              </w:rPr>
              <w:t>Correction on IAB-node authorization</w:t>
            </w:r>
          </w:p>
        </w:tc>
      </w:tr>
      <w:tr w14:paraId="3D9A3ECD">
        <w:tblPrEx>
          <w:tblCellMar>
            <w:top w:w="0" w:type="dxa"/>
            <w:left w:w="42" w:type="dxa"/>
            <w:bottom w:w="0" w:type="dxa"/>
            <w:right w:w="42" w:type="dxa"/>
          </w:tblCellMar>
        </w:tblPrEx>
        <w:tc>
          <w:tcPr>
            <w:tcW w:w="1843" w:type="dxa"/>
            <w:tcBorders>
              <w:left w:val="single" w:color="auto" w:sz="4" w:space="0"/>
            </w:tcBorders>
          </w:tcPr>
          <w:p w14:paraId="3D9A3ECB">
            <w:pPr>
              <w:pStyle w:val="94"/>
              <w:spacing w:after="0"/>
              <w:rPr>
                <w:b/>
                <w:i/>
                <w:sz w:val="8"/>
                <w:szCs w:val="8"/>
                <w:lang w:val="en-US"/>
              </w:rPr>
            </w:pPr>
          </w:p>
        </w:tc>
        <w:tc>
          <w:tcPr>
            <w:tcW w:w="7797" w:type="dxa"/>
            <w:gridSpan w:val="10"/>
            <w:tcBorders>
              <w:right w:val="single" w:color="auto" w:sz="4" w:space="0"/>
            </w:tcBorders>
          </w:tcPr>
          <w:p w14:paraId="3D9A3ECC">
            <w:pPr>
              <w:pStyle w:val="94"/>
              <w:spacing w:after="0"/>
              <w:rPr>
                <w:sz w:val="8"/>
                <w:szCs w:val="8"/>
                <w:lang w:val="en-US"/>
              </w:rPr>
            </w:pPr>
          </w:p>
        </w:tc>
      </w:tr>
      <w:tr w14:paraId="3D9A3ED0">
        <w:tblPrEx>
          <w:tblCellMar>
            <w:top w:w="0" w:type="dxa"/>
            <w:left w:w="42" w:type="dxa"/>
            <w:bottom w:w="0" w:type="dxa"/>
            <w:right w:w="42" w:type="dxa"/>
          </w:tblCellMar>
        </w:tblPrEx>
        <w:tc>
          <w:tcPr>
            <w:tcW w:w="1843" w:type="dxa"/>
            <w:tcBorders>
              <w:left w:val="single" w:color="auto" w:sz="4" w:space="0"/>
            </w:tcBorders>
            <w:shd w:val="clear" w:color="auto" w:fill="auto"/>
          </w:tcPr>
          <w:p w14:paraId="3D9A3ECE">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9A3ECF">
            <w:pPr>
              <w:pStyle w:val="94"/>
              <w:spacing w:after="0"/>
              <w:ind w:left="100"/>
              <w:rPr>
                <w:rFonts w:hint="default" w:eastAsiaTheme="minorEastAsia"/>
                <w:lang w:val="en-US" w:eastAsia="zh-CN"/>
              </w:rPr>
            </w:pPr>
            <w:r>
              <w:rPr>
                <w:rFonts w:hint="eastAsia"/>
                <w:lang w:val="en-US" w:eastAsia="zh-CN"/>
              </w:rPr>
              <w:t xml:space="preserve">ZTE Corporation, Lenovo, Xiaomi, Samsung, CATT, </w:t>
            </w:r>
            <w:r>
              <w:rPr>
                <w:lang w:val="en-US" w:eastAsia="zh-CN"/>
              </w:rPr>
              <w:t>Nokia, Nokia Shanghai Bell</w:t>
            </w:r>
          </w:p>
        </w:tc>
      </w:tr>
      <w:tr w14:paraId="3D9A3ED3">
        <w:tblPrEx>
          <w:tblCellMar>
            <w:top w:w="0" w:type="dxa"/>
            <w:left w:w="42" w:type="dxa"/>
            <w:bottom w:w="0" w:type="dxa"/>
            <w:right w:w="42" w:type="dxa"/>
          </w:tblCellMar>
        </w:tblPrEx>
        <w:tc>
          <w:tcPr>
            <w:tcW w:w="1843" w:type="dxa"/>
            <w:tcBorders>
              <w:left w:val="single" w:color="auto" w:sz="4" w:space="0"/>
            </w:tcBorders>
            <w:shd w:val="clear" w:color="auto" w:fill="auto"/>
          </w:tcPr>
          <w:p w14:paraId="3D9A3ED1">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D9A3ED2">
            <w:pPr>
              <w:pStyle w:val="94"/>
              <w:spacing w:after="0"/>
              <w:ind w:left="100"/>
              <w:rPr>
                <w:rFonts w:eastAsia="宋体"/>
                <w:lang w:eastAsia="zh-CN"/>
              </w:rPr>
            </w:pPr>
            <w:r>
              <w:t>R</w:t>
            </w:r>
            <w:r>
              <w:rPr>
                <w:rFonts w:hint="eastAsia" w:eastAsia="宋体"/>
                <w:lang w:val="en-US" w:eastAsia="zh-CN"/>
              </w:rPr>
              <w:t>3</w:t>
            </w:r>
          </w:p>
        </w:tc>
      </w:tr>
      <w:tr w14:paraId="3D9A3ED6">
        <w:tblPrEx>
          <w:tblCellMar>
            <w:top w:w="0" w:type="dxa"/>
            <w:left w:w="42" w:type="dxa"/>
            <w:bottom w:w="0" w:type="dxa"/>
            <w:right w:w="42" w:type="dxa"/>
          </w:tblCellMar>
        </w:tblPrEx>
        <w:tc>
          <w:tcPr>
            <w:tcW w:w="1843" w:type="dxa"/>
            <w:tcBorders>
              <w:left w:val="single" w:color="auto" w:sz="4" w:space="0"/>
            </w:tcBorders>
          </w:tcPr>
          <w:p w14:paraId="3D9A3ED4">
            <w:pPr>
              <w:pStyle w:val="94"/>
              <w:spacing w:after="0"/>
              <w:rPr>
                <w:b/>
                <w:i/>
                <w:sz w:val="8"/>
                <w:szCs w:val="8"/>
              </w:rPr>
            </w:pPr>
          </w:p>
        </w:tc>
        <w:tc>
          <w:tcPr>
            <w:tcW w:w="7797" w:type="dxa"/>
            <w:gridSpan w:val="10"/>
            <w:tcBorders>
              <w:right w:val="single" w:color="auto" w:sz="4" w:space="0"/>
            </w:tcBorders>
          </w:tcPr>
          <w:p w14:paraId="3D9A3ED5">
            <w:pPr>
              <w:pStyle w:val="94"/>
              <w:spacing w:after="0"/>
              <w:rPr>
                <w:sz w:val="8"/>
                <w:szCs w:val="8"/>
              </w:rPr>
            </w:pPr>
          </w:p>
        </w:tc>
      </w:tr>
      <w:tr w14:paraId="3D9A3EDC">
        <w:tblPrEx>
          <w:tblCellMar>
            <w:top w:w="0" w:type="dxa"/>
            <w:left w:w="42" w:type="dxa"/>
            <w:bottom w:w="0" w:type="dxa"/>
            <w:right w:w="42" w:type="dxa"/>
          </w:tblCellMar>
        </w:tblPrEx>
        <w:tc>
          <w:tcPr>
            <w:tcW w:w="1843" w:type="dxa"/>
            <w:tcBorders>
              <w:left w:val="single" w:color="auto" w:sz="4" w:space="0"/>
            </w:tcBorders>
            <w:shd w:val="clear" w:color="auto" w:fill="auto"/>
          </w:tcPr>
          <w:p w14:paraId="3D9A3ED7">
            <w:pPr>
              <w:pStyle w:val="94"/>
              <w:tabs>
                <w:tab w:val="right" w:pos="1759"/>
              </w:tabs>
              <w:spacing w:after="0"/>
              <w:rPr>
                <w:b/>
                <w:i/>
              </w:rPr>
            </w:pPr>
            <w:r>
              <w:rPr>
                <w:b/>
                <w:i/>
              </w:rPr>
              <w:t>Work item code:</w:t>
            </w:r>
          </w:p>
        </w:tc>
        <w:tc>
          <w:tcPr>
            <w:tcW w:w="3686" w:type="dxa"/>
            <w:gridSpan w:val="5"/>
            <w:shd w:val="pct30" w:color="FFFF00" w:fill="auto"/>
          </w:tcPr>
          <w:p w14:paraId="3D9A3ED8">
            <w:pPr>
              <w:pStyle w:val="94"/>
              <w:spacing w:after="0"/>
              <w:ind w:left="100"/>
            </w:pPr>
            <w:r>
              <w:rPr>
                <w:rFonts w:hint="eastAsia"/>
              </w:rPr>
              <w:t>NR_IAB_enh-Core</w:t>
            </w:r>
          </w:p>
        </w:tc>
        <w:tc>
          <w:tcPr>
            <w:tcW w:w="567" w:type="dxa"/>
            <w:tcBorders>
              <w:left w:val="nil"/>
            </w:tcBorders>
            <w:shd w:val="clear" w:color="auto" w:fill="auto"/>
          </w:tcPr>
          <w:p w14:paraId="3D9A3ED9">
            <w:pPr>
              <w:pStyle w:val="94"/>
              <w:spacing w:after="0"/>
              <w:ind w:right="100"/>
            </w:pPr>
          </w:p>
        </w:tc>
        <w:tc>
          <w:tcPr>
            <w:tcW w:w="1417" w:type="dxa"/>
            <w:gridSpan w:val="3"/>
            <w:tcBorders>
              <w:left w:val="nil"/>
            </w:tcBorders>
            <w:shd w:val="clear" w:color="auto" w:fill="auto"/>
          </w:tcPr>
          <w:p w14:paraId="3D9A3EDA">
            <w:pPr>
              <w:pStyle w:val="94"/>
              <w:spacing w:after="0"/>
              <w:jc w:val="right"/>
            </w:pPr>
            <w:r>
              <w:rPr>
                <w:b/>
                <w:i/>
              </w:rPr>
              <w:t>Date:</w:t>
            </w:r>
          </w:p>
        </w:tc>
        <w:tc>
          <w:tcPr>
            <w:tcW w:w="2127" w:type="dxa"/>
            <w:tcBorders>
              <w:right w:val="single" w:color="auto" w:sz="4" w:space="0"/>
            </w:tcBorders>
            <w:shd w:val="pct30" w:color="FFFF00" w:fill="auto"/>
          </w:tcPr>
          <w:p w14:paraId="3D9A3EDB">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20</w:t>
            </w:r>
          </w:p>
        </w:tc>
      </w:tr>
      <w:tr w14:paraId="3D9A3EE2">
        <w:tblPrEx>
          <w:tblCellMar>
            <w:top w:w="0" w:type="dxa"/>
            <w:left w:w="42" w:type="dxa"/>
            <w:bottom w:w="0" w:type="dxa"/>
            <w:right w:w="42" w:type="dxa"/>
          </w:tblCellMar>
        </w:tblPrEx>
        <w:tc>
          <w:tcPr>
            <w:tcW w:w="1843" w:type="dxa"/>
            <w:tcBorders>
              <w:left w:val="single" w:color="auto" w:sz="4" w:space="0"/>
            </w:tcBorders>
          </w:tcPr>
          <w:p w14:paraId="3D9A3EDD">
            <w:pPr>
              <w:pStyle w:val="94"/>
              <w:spacing w:after="0"/>
              <w:rPr>
                <w:b/>
                <w:i/>
                <w:sz w:val="8"/>
                <w:szCs w:val="8"/>
              </w:rPr>
            </w:pPr>
          </w:p>
        </w:tc>
        <w:tc>
          <w:tcPr>
            <w:tcW w:w="1986" w:type="dxa"/>
            <w:gridSpan w:val="4"/>
          </w:tcPr>
          <w:p w14:paraId="3D9A3EDE">
            <w:pPr>
              <w:pStyle w:val="94"/>
              <w:spacing w:after="0"/>
              <w:rPr>
                <w:sz w:val="8"/>
                <w:szCs w:val="8"/>
              </w:rPr>
            </w:pPr>
          </w:p>
        </w:tc>
        <w:tc>
          <w:tcPr>
            <w:tcW w:w="2267" w:type="dxa"/>
            <w:gridSpan w:val="2"/>
          </w:tcPr>
          <w:p w14:paraId="3D9A3EDF">
            <w:pPr>
              <w:pStyle w:val="94"/>
              <w:spacing w:after="0"/>
              <w:rPr>
                <w:sz w:val="8"/>
                <w:szCs w:val="8"/>
              </w:rPr>
            </w:pPr>
          </w:p>
        </w:tc>
        <w:tc>
          <w:tcPr>
            <w:tcW w:w="1417" w:type="dxa"/>
            <w:gridSpan w:val="3"/>
          </w:tcPr>
          <w:p w14:paraId="3D9A3EE0">
            <w:pPr>
              <w:pStyle w:val="94"/>
              <w:spacing w:after="0"/>
              <w:rPr>
                <w:sz w:val="8"/>
                <w:szCs w:val="8"/>
              </w:rPr>
            </w:pPr>
          </w:p>
        </w:tc>
        <w:tc>
          <w:tcPr>
            <w:tcW w:w="2127" w:type="dxa"/>
            <w:tcBorders>
              <w:right w:val="single" w:color="auto" w:sz="4" w:space="0"/>
            </w:tcBorders>
          </w:tcPr>
          <w:p w14:paraId="3D9A3EE1">
            <w:pPr>
              <w:pStyle w:val="94"/>
              <w:spacing w:after="0"/>
              <w:rPr>
                <w:sz w:val="8"/>
                <w:szCs w:val="8"/>
              </w:rPr>
            </w:pPr>
          </w:p>
        </w:tc>
      </w:tr>
      <w:tr w14:paraId="3D9A3EE8">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14:paraId="3D9A3EE3">
            <w:pPr>
              <w:pStyle w:val="94"/>
              <w:tabs>
                <w:tab w:val="right" w:pos="1759"/>
              </w:tabs>
              <w:spacing w:after="0"/>
              <w:rPr>
                <w:b/>
                <w:i/>
              </w:rPr>
            </w:pPr>
            <w:r>
              <w:rPr>
                <w:b/>
                <w:i/>
              </w:rPr>
              <w:t>Category:</w:t>
            </w:r>
          </w:p>
        </w:tc>
        <w:tc>
          <w:tcPr>
            <w:tcW w:w="851" w:type="dxa"/>
            <w:shd w:val="pct30" w:color="FFFF00" w:fill="auto"/>
          </w:tcPr>
          <w:p w14:paraId="3D9A3EE4">
            <w:pPr>
              <w:pStyle w:val="94"/>
              <w:spacing w:after="0"/>
              <w:ind w:right="-609"/>
              <w:rPr>
                <w:rFonts w:eastAsia="宋体"/>
                <w:b/>
                <w:lang w:val="en-US"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14:paraId="3D9A3EE5">
            <w:pPr>
              <w:pStyle w:val="94"/>
              <w:spacing w:after="0"/>
            </w:pPr>
          </w:p>
        </w:tc>
        <w:tc>
          <w:tcPr>
            <w:tcW w:w="1417" w:type="dxa"/>
            <w:gridSpan w:val="3"/>
            <w:tcBorders>
              <w:left w:val="nil"/>
            </w:tcBorders>
            <w:shd w:val="clear" w:color="auto" w:fill="auto"/>
          </w:tcPr>
          <w:p w14:paraId="3D9A3EE6">
            <w:pPr>
              <w:pStyle w:val="94"/>
              <w:spacing w:after="0"/>
              <w:jc w:val="right"/>
              <w:rPr>
                <w:b/>
                <w:i/>
              </w:rPr>
            </w:pPr>
            <w:r>
              <w:rPr>
                <w:b/>
                <w:i/>
              </w:rPr>
              <w:t>Release:</w:t>
            </w:r>
          </w:p>
        </w:tc>
        <w:tc>
          <w:tcPr>
            <w:tcW w:w="2127" w:type="dxa"/>
            <w:tcBorders>
              <w:right w:val="single" w:color="auto" w:sz="4" w:space="0"/>
            </w:tcBorders>
            <w:shd w:val="pct30" w:color="FFFF00" w:fill="auto"/>
          </w:tcPr>
          <w:p w14:paraId="3D9A3EE7">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14:paraId="3D9A3EED">
        <w:tblPrEx>
          <w:tblCellMar>
            <w:top w:w="0" w:type="dxa"/>
            <w:left w:w="42" w:type="dxa"/>
            <w:bottom w:w="0" w:type="dxa"/>
            <w:right w:w="42" w:type="dxa"/>
          </w:tblCellMar>
        </w:tblPrEx>
        <w:tc>
          <w:tcPr>
            <w:tcW w:w="1843" w:type="dxa"/>
            <w:tcBorders>
              <w:left w:val="single" w:color="auto" w:sz="4" w:space="0"/>
              <w:bottom w:val="single" w:color="auto" w:sz="4" w:space="0"/>
            </w:tcBorders>
          </w:tcPr>
          <w:p w14:paraId="3D9A3EE9">
            <w:pPr>
              <w:pStyle w:val="94"/>
              <w:spacing w:after="0"/>
              <w:rPr>
                <w:b/>
                <w:i/>
              </w:rPr>
            </w:pPr>
          </w:p>
        </w:tc>
        <w:tc>
          <w:tcPr>
            <w:tcW w:w="4677" w:type="dxa"/>
            <w:gridSpan w:val="8"/>
            <w:tcBorders>
              <w:bottom w:val="single" w:color="auto" w:sz="4" w:space="0"/>
            </w:tcBorders>
          </w:tcPr>
          <w:p w14:paraId="3D9A3EEA">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9A3EEB">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3D9A3EEC">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D9A3EF0">
        <w:tblPrEx>
          <w:tblCellMar>
            <w:top w:w="0" w:type="dxa"/>
            <w:left w:w="42" w:type="dxa"/>
            <w:bottom w:w="0" w:type="dxa"/>
            <w:right w:w="42" w:type="dxa"/>
          </w:tblCellMar>
        </w:tblPrEx>
        <w:tc>
          <w:tcPr>
            <w:tcW w:w="1843" w:type="dxa"/>
          </w:tcPr>
          <w:p w14:paraId="3D9A3EEE">
            <w:pPr>
              <w:pStyle w:val="94"/>
              <w:spacing w:after="0"/>
              <w:rPr>
                <w:b/>
                <w:i/>
                <w:sz w:val="8"/>
                <w:szCs w:val="8"/>
              </w:rPr>
            </w:pPr>
          </w:p>
        </w:tc>
        <w:tc>
          <w:tcPr>
            <w:tcW w:w="7797" w:type="dxa"/>
            <w:gridSpan w:val="10"/>
          </w:tcPr>
          <w:p w14:paraId="3D9A3EEF">
            <w:pPr>
              <w:pStyle w:val="94"/>
              <w:spacing w:after="0"/>
              <w:rPr>
                <w:sz w:val="8"/>
                <w:szCs w:val="8"/>
              </w:rPr>
            </w:pPr>
          </w:p>
        </w:tc>
      </w:tr>
      <w:tr w14:paraId="3D9A3EFB">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D9A3EF1">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9A3EF2">
            <w:pPr>
              <w:numPr>
                <w:ilvl w:val="0"/>
                <w:numId w:val="2"/>
              </w:numPr>
              <w:rPr>
                <w:rFonts w:hint="default" w:ascii="Arial" w:hAnsi="Arial" w:eastAsia="宋体" w:cs="Arial"/>
                <w:lang w:val="en-US" w:eastAsia="zh-CN"/>
              </w:rPr>
            </w:pPr>
            <w:r>
              <w:rPr>
                <w:rFonts w:hint="default" w:ascii="Arial" w:hAnsi="Arial" w:cs="Arial"/>
                <w:lang w:val="en-US" w:eastAsia="zh-CN"/>
              </w:rPr>
              <w:t>For</w:t>
            </w:r>
            <w:r>
              <w:rPr>
                <w:rFonts w:hint="default" w:ascii="Arial" w:hAnsi="Arial" w:cs="Arial"/>
              </w:rPr>
              <w:t xml:space="preserve"> </w:t>
            </w:r>
            <w:r>
              <w:rPr>
                <w:rFonts w:hint="default" w:ascii="Arial" w:hAnsi="Arial" w:cs="Arial"/>
                <w:lang w:val="en-US" w:eastAsia="zh-CN"/>
              </w:rPr>
              <w:t xml:space="preserve">an </w:t>
            </w:r>
            <w:r>
              <w:rPr>
                <w:rFonts w:hint="default" w:ascii="Arial" w:hAnsi="Arial" w:cs="Arial"/>
              </w:rPr>
              <w:t>IAB-node</w:t>
            </w:r>
            <w:r>
              <w:rPr>
                <w:rFonts w:hint="default" w:ascii="Arial" w:hAnsi="Arial" w:cs="Arial"/>
                <w:lang w:val="en-US" w:eastAsia="zh-CN"/>
              </w:rPr>
              <w:t xml:space="preserve">, the IAB donor-CU receives the authorizations from 5GC or from another IAB donor CU, when the authorization status </w:t>
            </w:r>
            <w:r>
              <w:rPr>
                <w:rFonts w:hint="default" w:ascii="Arial" w:hAnsi="Arial" w:cs="Arial"/>
              </w:rPr>
              <w:t xml:space="preserve">is </w:t>
            </w:r>
            <w:r>
              <w:rPr>
                <w:rFonts w:hint="default" w:ascii="Arial" w:hAnsi="Arial" w:eastAsia="宋体" w:cs="Arial"/>
                <w:lang w:val="en-US" w:eastAsia="zh-CN"/>
              </w:rPr>
              <w:t xml:space="preserve">received for the first time and </w:t>
            </w:r>
            <w:r>
              <w:rPr>
                <w:rFonts w:hint="default" w:ascii="Arial" w:hAnsi="Arial" w:cs="Arial"/>
              </w:rPr>
              <w:t>“not authorized”, the IAB-donor-CU neither establishes the backhaul resources nor allocates any BAP address, TNL address or default BAP configuration for this</w:t>
            </w:r>
            <w:r>
              <w:rPr>
                <w:rFonts w:hint="default" w:ascii="Arial" w:hAnsi="Arial" w:eastAsia="宋体" w:cs="Arial"/>
                <w:lang w:val="en-US" w:eastAsia="zh-CN"/>
              </w:rPr>
              <w:t xml:space="preserve"> </w:t>
            </w:r>
            <w:r>
              <w:rPr>
                <w:rFonts w:hint="default" w:ascii="Arial" w:hAnsi="Arial" w:cs="Arial"/>
              </w:rPr>
              <w:t xml:space="preserve">IAB-node. </w:t>
            </w:r>
            <w:r>
              <w:rPr>
                <w:rFonts w:hint="default" w:ascii="Arial" w:hAnsi="Arial" w:cs="Arial"/>
                <w:lang w:val="en-US" w:eastAsia="zh-CN"/>
              </w:rPr>
              <w:t xml:space="preserve">However, when the authorization status is not received for the first time, different action shall be taken, e.g. </w:t>
            </w:r>
            <w:r>
              <w:rPr>
                <w:rFonts w:hint="default" w:ascii="Arial" w:hAnsi="Arial" w:cs="Arial"/>
              </w:rPr>
              <w:t xml:space="preserve">the IAB-donor-CU attempts to hand over the UEs served by the IAB-node to other cell(s), releases the F1 interface towards the IAB-DU, and releases all backhaul resources (including the BAP address, TNL address and default BAP configuration) for this IAB-node. </w:t>
            </w:r>
            <w:r>
              <w:rPr>
                <w:rFonts w:hint="default" w:ascii="Arial" w:hAnsi="Arial" w:cs="Arial"/>
                <w:lang w:val="en-US" w:eastAsia="zh-CN"/>
              </w:rPr>
              <w:t xml:space="preserve">As we can see, different actions are taken by the IAB donor CU for the two cases. However, the two cases when the authorization status </w:t>
            </w:r>
            <w:r>
              <w:rPr>
                <w:rFonts w:hint="default" w:ascii="Arial" w:hAnsi="Arial" w:cs="Arial"/>
              </w:rPr>
              <w:t xml:space="preserve">is </w:t>
            </w:r>
            <w:r>
              <w:rPr>
                <w:rFonts w:hint="default" w:ascii="Arial" w:hAnsi="Arial" w:eastAsia="宋体" w:cs="Arial"/>
                <w:lang w:val="en-US" w:eastAsia="zh-CN"/>
              </w:rPr>
              <w:t>received</w:t>
            </w:r>
            <w:r>
              <w:rPr>
                <w:rFonts w:hint="default" w:ascii="Arial" w:hAnsi="Arial" w:cs="Arial"/>
                <w:lang w:val="en-US" w:eastAsia="zh-CN"/>
              </w:rPr>
              <w:t xml:space="preserve"> are not distinguished in the current description in 38.401.</w:t>
            </w:r>
          </w:p>
          <w:p w14:paraId="3D9A3EF3">
            <w:pPr>
              <w:numPr>
                <w:ilvl w:val="0"/>
                <w:numId w:val="2"/>
              </w:numPr>
              <w:rPr>
                <w:rFonts w:hint="default" w:ascii="Arial" w:hAnsi="Arial" w:cs="Arial"/>
                <w:lang w:val="en-US" w:eastAsia="zh-CN"/>
              </w:rPr>
            </w:pPr>
            <w:r>
              <w:rPr>
                <w:rFonts w:hint="default" w:ascii="Arial" w:hAnsi="Arial" w:cs="Arial"/>
                <w:lang w:val="en-US" w:eastAsia="zh-CN"/>
              </w:rPr>
              <w:t xml:space="preserve">The current description for the case when MT is dual-connected with two donors is incomplete and incorrect. Based on current specification, when the </w:t>
            </w:r>
            <w:r>
              <w:rPr>
                <w:rFonts w:hint="default" w:ascii="Arial" w:hAnsi="Arial" w:cs="Arial"/>
              </w:rPr>
              <w:t>IAB-MT is NR dual-connected</w:t>
            </w:r>
            <w:r>
              <w:rPr>
                <w:rFonts w:hint="default" w:ascii="Arial" w:hAnsi="Arial" w:cs="Arial"/>
                <w:lang w:val="en-US" w:eastAsia="zh-CN"/>
              </w:rPr>
              <w:t xml:space="preserve">, two cases are described separately, i.e. case 1: </w:t>
            </w:r>
            <w:r>
              <w:rPr>
                <w:rFonts w:hint="default" w:ascii="Arial" w:hAnsi="Arial" w:cs="Arial"/>
              </w:rPr>
              <w:t xml:space="preserve">the non-F1-terminating IAB-donor-CU </w:t>
            </w:r>
            <w:r>
              <w:rPr>
                <w:rFonts w:hint="default" w:ascii="Arial" w:hAnsi="Arial" w:cs="Arial"/>
                <w:lang w:val="en-US" w:eastAsia="zh-CN"/>
              </w:rPr>
              <w:t>is</w:t>
            </w:r>
            <w:r>
              <w:rPr>
                <w:rFonts w:hint="default" w:ascii="Arial" w:hAnsi="Arial" w:cs="Arial"/>
              </w:rPr>
              <w:t xml:space="preserve"> the MN</w:t>
            </w:r>
            <w:r>
              <w:rPr>
                <w:rFonts w:hint="default" w:ascii="Arial" w:hAnsi="Arial" w:cs="Arial"/>
                <w:lang w:val="en-US" w:eastAsia="zh-CN"/>
              </w:rPr>
              <w:t xml:space="preserve">, case 2: the </w:t>
            </w:r>
            <w:r>
              <w:rPr>
                <w:rFonts w:hint="default" w:ascii="Arial" w:hAnsi="Arial" w:cs="Arial"/>
              </w:rPr>
              <w:t xml:space="preserve">F1-terminating IAB-donor-CU </w:t>
            </w:r>
            <w:r>
              <w:rPr>
                <w:rFonts w:hint="default" w:ascii="Arial" w:hAnsi="Arial" w:cs="Arial"/>
                <w:lang w:val="en-US" w:eastAsia="zh-CN"/>
              </w:rPr>
              <w:t>is</w:t>
            </w:r>
            <w:r>
              <w:rPr>
                <w:rFonts w:hint="default" w:ascii="Arial" w:hAnsi="Arial" w:cs="Arial"/>
              </w:rPr>
              <w:t xml:space="preserve"> the MN</w:t>
            </w:r>
            <w:r>
              <w:rPr>
                <w:rFonts w:hint="default" w:ascii="Arial" w:hAnsi="Arial" w:eastAsia="宋体" w:cs="Arial"/>
                <w:lang w:val="en-US" w:eastAsia="zh-CN"/>
              </w:rPr>
              <w:t xml:space="preserve">. </w:t>
            </w:r>
            <w:r>
              <w:rPr>
                <w:rFonts w:hint="default" w:ascii="Arial" w:hAnsi="Arial" w:cs="Arial"/>
                <w:lang w:val="en-US" w:eastAsia="zh-CN"/>
              </w:rPr>
              <w:t xml:space="preserve"> </w:t>
            </w:r>
          </w:p>
          <w:p w14:paraId="3D9A3EF5">
            <w:pPr>
              <w:rPr>
                <w:rFonts w:hint="default" w:ascii="Arial" w:hAnsi="Arial" w:cs="Arial"/>
                <w:lang w:val="en-US" w:eastAsia="zh-CN"/>
              </w:rPr>
            </w:pPr>
            <w:r>
              <w:rPr>
                <w:rFonts w:hint="default" w:ascii="Arial" w:hAnsi="Arial" w:cs="Arial"/>
                <w:lang w:val="en-US" w:eastAsia="zh-CN"/>
              </w:rPr>
              <w:t xml:space="preserve">For case 2 (i.e. </w:t>
            </w:r>
            <w:r>
              <w:rPr>
                <w:rFonts w:hint="default" w:ascii="Arial" w:hAnsi="Arial" w:cs="Arial"/>
              </w:rPr>
              <w:t>the MN is the F1-terminating IAB-donor-CU</w:t>
            </w:r>
            <w:r>
              <w:rPr>
                <w:rFonts w:hint="default" w:ascii="Arial" w:hAnsi="Arial" w:cs="Arial"/>
                <w:lang w:val="en-US" w:eastAsia="zh-CN"/>
              </w:rPr>
              <w:t>), it’s specified “</w:t>
            </w:r>
            <w:r>
              <w:rPr>
                <w:rFonts w:hint="default" w:ascii="Arial" w:hAnsi="Arial" w:cs="Arial"/>
              </w:rPr>
              <w:t>upon reception of the authorization status, the IAB-node’s authorization procedure follows the same steps as described in clause 8.9.17.2.1.</w:t>
            </w:r>
            <w:r>
              <w:rPr>
                <w:rFonts w:hint="default" w:ascii="Arial" w:hAnsi="Arial" w:cs="Arial"/>
                <w:lang w:val="en-US" w:eastAsia="zh-CN"/>
              </w:rPr>
              <w:t>”. However, c</w:t>
            </w:r>
            <w:r>
              <w:rPr>
                <w:rFonts w:hint="default" w:ascii="Arial" w:hAnsi="Arial" w:cs="Arial"/>
              </w:rPr>
              <w:t xml:space="preserve">lause 8.9.17.2 and </w:t>
            </w:r>
            <w:r>
              <w:rPr>
                <w:rFonts w:hint="default" w:ascii="Arial" w:hAnsi="Arial" w:cs="Arial"/>
                <w:lang w:val="en-US" w:eastAsia="zh-CN"/>
              </w:rPr>
              <w:t xml:space="preserve">even </w:t>
            </w:r>
            <w:r>
              <w:rPr>
                <w:rFonts w:hint="default" w:ascii="Arial" w:hAnsi="Arial" w:cs="Arial"/>
              </w:rPr>
              <w:t>8.9.17.1</w:t>
            </w:r>
            <w:r>
              <w:rPr>
                <w:rFonts w:hint="default" w:ascii="Arial" w:hAnsi="Arial" w:cs="Arial"/>
                <w:lang w:val="en-US" w:eastAsia="zh-CN"/>
              </w:rPr>
              <w:t xml:space="preserve"> which is referred by c</w:t>
            </w:r>
            <w:r>
              <w:rPr>
                <w:rFonts w:hint="default" w:ascii="Arial" w:hAnsi="Arial" w:cs="Arial"/>
              </w:rPr>
              <w:t>lause 8.9.17.2 only describes the case when IAB-node connects to a single IAB-donor</w:t>
            </w:r>
            <w:r>
              <w:rPr>
                <w:rFonts w:hint="default" w:ascii="Arial" w:hAnsi="Arial" w:cs="Arial"/>
                <w:lang w:val="en-US" w:eastAsia="zh-CN"/>
              </w:rPr>
              <w:t xml:space="preserve"> wherein </w:t>
            </w:r>
            <w:r>
              <w:rPr>
                <w:rFonts w:hint="eastAsia" w:ascii="Arial" w:hAnsi="Arial" w:cs="Arial"/>
                <w:lang w:val="en-US" w:eastAsia="zh-CN"/>
              </w:rPr>
              <w:t xml:space="preserve">some </w:t>
            </w:r>
            <w:r>
              <w:rPr>
                <w:rFonts w:hint="default" w:ascii="Arial" w:hAnsi="Arial" w:cs="Arial"/>
              </w:rPr>
              <w:t>step</w:t>
            </w:r>
            <w:r>
              <w:rPr>
                <w:rFonts w:hint="eastAsia" w:ascii="Arial" w:hAnsi="Arial" w:eastAsia="宋体" w:cs="Arial"/>
                <w:lang w:val="en-US" w:eastAsia="zh-CN"/>
              </w:rPr>
              <w:t xml:space="preserve"> (e.g., </w:t>
            </w:r>
            <w:r>
              <w:rPr>
                <w:rFonts w:hint="default" w:ascii="Arial" w:hAnsi="Arial" w:cs="Arial"/>
              </w:rPr>
              <w:t>F1</w:t>
            </w:r>
            <w:r>
              <w:rPr>
                <w:rFonts w:hint="default" w:ascii="Arial" w:hAnsi="Arial" w:cs="Arial"/>
                <w:lang w:val="en-US" w:eastAsia="zh-CN"/>
              </w:rPr>
              <w:t>-</w:t>
            </w:r>
            <w:r>
              <w:rPr>
                <w:rFonts w:hint="default" w:ascii="Arial" w:hAnsi="Arial" w:cs="Arial"/>
              </w:rPr>
              <w:t>terminating donor</w:t>
            </w:r>
            <w:r>
              <w:rPr>
                <w:rFonts w:hint="default" w:ascii="Arial" w:hAnsi="Arial" w:cs="Arial"/>
                <w:lang w:val="en-US" w:eastAsia="zh-CN"/>
              </w:rPr>
              <w:t xml:space="preserve"> </w:t>
            </w:r>
            <w:r>
              <w:rPr>
                <w:rFonts w:hint="default" w:ascii="Arial" w:hAnsi="Arial" w:cs="Arial"/>
              </w:rPr>
              <w:t>informing the non-F1 terminating donor that the corresponding operation</w:t>
            </w:r>
            <w:r>
              <w:rPr>
                <w:rFonts w:hint="default" w:ascii="Arial" w:hAnsi="Arial" w:cs="Arial"/>
                <w:lang w:val="en-US" w:eastAsia="zh-CN"/>
              </w:rPr>
              <w:t xml:space="preserve"> (e.g. handover of UEs)</w:t>
            </w:r>
            <w:r>
              <w:rPr>
                <w:rFonts w:hint="default" w:ascii="Arial" w:hAnsi="Arial" w:cs="Arial"/>
              </w:rPr>
              <w:t xml:space="preserve"> has completed</w:t>
            </w:r>
            <w:r>
              <w:rPr>
                <w:rFonts w:hint="eastAsia" w:ascii="Arial" w:hAnsi="Arial" w:eastAsia="宋体" w:cs="Arial"/>
                <w:lang w:val="en-US" w:eastAsia="zh-CN"/>
              </w:rPr>
              <w:t>)</w:t>
            </w:r>
            <w:r>
              <w:rPr>
                <w:rFonts w:hint="default" w:ascii="Arial" w:hAnsi="Arial" w:cs="Arial"/>
                <w:lang w:val="en-US" w:eastAsia="zh-CN"/>
              </w:rPr>
              <w:t xml:space="preserve"> </w:t>
            </w:r>
            <w:r>
              <w:rPr>
                <w:rFonts w:hint="eastAsia" w:ascii="Arial" w:hAnsi="Arial" w:cs="Arial"/>
                <w:lang w:val="en-US" w:eastAsia="zh-CN"/>
              </w:rPr>
              <w:t xml:space="preserve">is </w:t>
            </w:r>
            <w:r>
              <w:rPr>
                <w:rFonts w:hint="default" w:ascii="Arial" w:hAnsi="Arial" w:cs="Arial"/>
              </w:rPr>
              <w:t>missing</w:t>
            </w:r>
            <w:r>
              <w:rPr>
                <w:rFonts w:hint="default" w:ascii="Arial" w:hAnsi="Arial" w:cs="Arial"/>
                <w:lang w:val="en-US" w:eastAsia="zh-CN"/>
              </w:rPr>
              <w:t xml:space="preserve">. Actually, these operations applies to all scenarios when the IAB node is served by two IAB-donors, not only to part of scenarios as described currently in 38.401.  </w:t>
            </w:r>
          </w:p>
          <w:p w14:paraId="3D9A3EF8">
            <w:pPr>
              <w:numPr>
                <w:ilvl w:val="0"/>
                <w:numId w:val="2"/>
              </w:numPr>
              <w:rPr>
                <w:rFonts w:hint="default" w:ascii="Arial" w:hAnsi="Arial" w:cs="Arial"/>
                <w:lang w:val="en-US" w:eastAsia="zh-CN"/>
              </w:rPr>
            </w:pPr>
            <w:r>
              <w:rPr>
                <w:rFonts w:hint="default" w:ascii="Arial" w:hAnsi="Arial" w:cs="Arial"/>
                <w:lang w:val="en-US" w:eastAsia="zh-CN"/>
              </w:rPr>
              <w:t>It’s impossible for an IAB-node to connect with a gNB non-capable of IAB. Thus, it’s not correct to use the term “non-IAB-capable” in clause 8.9.17.2.2.</w:t>
            </w:r>
          </w:p>
          <w:p w14:paraId="3D9A3EF9">
            <w:pPr>
              <w:pStyle w:val="28"/>
              <w:numPr>
                <w:ilvl w:val="0"/>
                <w:numId w:val="2"/>
              </w:numPr>
              <w:rPr>
                <w:rFonts w:hint="default" w:ascii="Arial" w:hAnsi="Arial" w:cs="Arial"/>
                <w:lang w:val="en-US" w:eastAsia="zh-CN"/>
              </w:rPr>
            </w:pPr>
            <w:r>
              <w:rPr>
                <w:rFonts w:hint="default" w:ascii="Arial" w:hAnsi="Arial" w:cs="Arial"/>
                <w:lang w:val="en-US" w:eastAsia="zh-CN"/>
              </w:rPr>
              <w:t xml:space="preserve">For the scenario of NR-DC with single IAB-donor, it is not appropriate to say the MN/SN is the IAB-donor-CU since the MN/SN comprises both CU and DU functionality. </w:t>
            </w:r>
          </w:p>
          <w:p w14:paraId="3D9A3EFA">
            <w:pPr>
              <w:pStyle w:val="28"/>
              <w:numPr>
                <w:ilvl w:val="0"/>
                <w:numId w:val="2"/>
              </w:numPr>
              <w:rPr>
                <w:rFonts w:ascii="Arial" w:hAnsi="Arial" w:cs="Arial"/>
                <w:lang w:val="en-US" w:eastAsia="zh-CN"/>
              </w:rPr>
            </w:pPr>
            <w:r>
              <w:rPr>
                <w:rFonts w:hint="default" w:ascii="Arial" w:hAnsi="Arial" w:eastAsia="宋体" w:cs="Arial"/>
                <w:lang w:val="en-US" w:eastAsia="zh-CN"/>
              </w:rPr>
              <w:t xml:space="preserve">When </w:t>
            </w:r>
            <w:r>
              <w:rPr>
                <w:rFonts w:hint="default" w:ascii="Arial" w:hAnsi="Arial" w:cs="Arial"/>
              </w:rPr>
              <w:t>IAB-node is served by two IAB-donors</w:t>
            </w:r>
            <w:r>
              <w:rPr>
                <w:rFonts w:hint="default" w:ascii="Arial" w:hAnsi="Arial" w:eastAsia="宋体" w:cs="Arial"/>
                <w:lang w:val="en-US" w:eastAsia="zh-CN"/>
              </w:rPr>
              <w:t xml:space="preserve">, and the MN is the </w:t>
            </w:r>
            <w:r>
              <w:rPr>
                <w:rFonts w:hint="default" w:ascii="Arial" w:hAnsi="Arial" w:cs="Arial"/>
              </w:rPr>
              <w:t>F1-terminating IAB-donor</w:t>
            </w:r>
            <w:r>
              <w:rPr>
                <w:rFonts w:hint="default" w:ascii="Arial" w:hAnsi="Arial" w:eastAsia="宋体" w:cs="Arial"/>
                <w:lang w:val="en-US" w:eastAsia="zh-CN"/>
              </w:rPr>
              <w:t xml:space="preserve">, the </w:t>
            </w:r>
            <w:r>
              <w:rPr>
                <w:rFonts w:hint="default" w:ascii="Arial" w:hAnsi="Arial" w:cs="Arial"/>
              </w:rPr>
              <w:t>F1-terminating IAB-donor-CU</w:t>
            </w:r>
            <w:r>
              <w:rPr>
                <w:rFonts w:hint="default" w:ascii="Arial" w:hAnsi="Arial" w:eastAsia="宋体" w:cs="Arial"/>
                <w:lang w:val="en-US" w:eastAsia="zh-CN"/>
              </w:rPr>
              <w:t xml:space="preserve"> rather than the non-F</w:t>
            </w:r>
            <w:r>
              <w:rPr>
                <w:rFonts w:hint="default" w:ascii="Arial" w:hAnsi="Arial" w:cs="Arial"/>
              </w:rPr>
              <w:t>1-terminating IAB-donor-CU may indicate to the 5GC that the IAB-MT can be de-registered</w:t>
            </w:r>
            <w:r>
              <w:rPr>
                <w:rFonts w:hint="default" w:ascii="Arial" w:hAnsi="Arial" w:eastAsia="宋体" w:cs="Arial"/>
                <w:lang w:val="en-US" w:eastAsia="zh-CN"/>
              </w:rPr>
              <w:t>.</w:t>
            </w:r>
          </w:p>
        </w:tc>
      </w:tr>
      <w:tr w14:paraId="3D9A3EFE">
        <w:tblPrEx>
          <w:tblCellMar>
            <w:top w:w="0" w:type="dxa"/>
            <w:left w:w="42" w:type="dxa"/>
            <w:bottom w:w="0" w:type="dxa"/>
            <w:right w:w="42" w:type="dxa"/>
          </w:tblCellMar>
        </w:tblPrEx>
        <w:tc>
          <w:tcPr>
            <w:tcW w:w="2694" w:type="dxa"/>
            <w:gridSpan w:val="2"/>
            <w:tcBorders>
              <w:left w:val="single" w:color="auto" w:sz="4" w:space="0"/>
            </w:tcBorders>
          </w:tcPr>
          <w:p w14:paraId="3D9A3EFC">
            <w:pPr>
              <w:pStyle w:val="94"/>
              <w:spacing w:after="0"/>
              <w:rPr>
                <w:b/>
                <w:i/>
                <w:sz w:val="8"/>
                <w:szCs w:val="8"/>
              </w:rPr>
            </w:pPr>
          </w:p>
        </w:tc>
        <w:tc>
          <w:tcPr>
            <w:tcW w:w="6946" w:type="dxa"/>
            <w:gridSpan w:val="9"/>
            <w:tcBorders>
              <w:right w:val="single" w:color="auto" w:sz="4" w:space="0"/>
            </w:tcBorders>
          </w:tcPr>
          <w:p w14:paraId="3D9A3EFD">
            <w:pPr>
              <w:pStyle w:val="94"/>
              <w:spacing w:after="0"/>
              <w:rPr>
                <w:rFonts w:cs="Arial"/>
                <w:sz w:val="8"/>
                <w:szCs w:val="8"/>
              </w:rPr>
            </w:pPr>
          </w:p>
        </w:tc>
      </w:tr>
      <w:tr w14:paraId="3D9A3F0B">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EFF">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D9A3F00">
            <w:pPr>
              <w:numPr>
                <w:ilvl w:val="0"/>
                <w:numId w:val="3"/>
              </w:numPr>
              <w:rPr>
                <w:rFonts w:hint="default" w:ascii="Arial" w:hAnsi="Arial" w:cs="Arial"/>
                <w:lang w:val="en-US" w:eastAsia="zh-CN"/>
              </w:rPr>
            </w:pPr>
            <w:r>
              <w:rPr>
                <w:rFonts w:hint="default" w:ascii="Arial" w:hAnsi="Arial" w:cs="Arial"/>
                <w:lang w:val="en-US" w:eastAsia="zh-CN"/>
              </w:rPr>
              <w:t>Add the definition of “Non-IAB-donor gNB”</w:t>
            </w:r>
          </w:p>
          <w:p w14:paraId="3D9A3F01">
            <w:pPr>
              <w:numPr>
                <w:ilvl w:val="0"/>
                <w:numId w:val="3"/>
              </w:numPr>
              <w:rPr>
                <w:rFonts w:hint="default" w:ascii="Arial" w:hAnsi="Arial" w:cs="Arial"/>
                <w:lang w:val="en-US" w:eastAsia="zh-CN"/>
              </w:rPr>
            </w:pPr>
            <w:r>
              <w:rPr>
                <w:rFonts w:hint="default" w:ascii="Arial" w:hAnsi="Arial" w:cs="Arial"/>
                <w:lang w:val="en-US" w:eastAsia="zh-CN"/>
              </w:rPr>
              <w:t>Clarify that</w:t>
            </w:r>
            <w:r>
              <w:rPr>
                <w:rFonts w:hint="default" w:ascii="Arial" w:hAnsi="Arial" w:cs="Arial"/>
              </w:rPr>
              <w:t xml:space="preserve"> </w:t>
            </w:r>
            <w:r>
              <w:rPr>
                <w:rFonts w:hint="default" w:ascii="Arial" w:hAnsi="Arial" w:cs="Arial"/>
                <w:lang w:val="en-US" w:eastAsia="zh-CN"/>
              </w:rPr>
              <w:t xml:space="preserve">if </w:t>
            </w:r>
            <w:r>
              <w:rPr>
                <w:rFonts w:hint="default" w:ascii="Arial" w:hAnsi="Arial" w:cs="Arial"/>
              </w:rPr>
              <w:t xml:space="preserve">the authorization status is </w:t>
            </w:r>
            <w:r>
              <w:rPr>
                <w:rFonts w:hint="default" w:ascii="Arial" w:hAnsi="Arial" w:cs="Arial"/>
                <w:lang w:val="en-US" w:eastAsia="zh-CN"/>
              </w:rPr>
              <w:t xml:space="preserve">received for the first time and </w:t>
            </w:r>
            <w:r>
              <w:rPr>
                <w:rFonts w:hint="default" w:ascii="Arial" w:hAnsi="Arial" w:cs="Arial"/>
              </w:rPr>
              <w:t>“not authorized”, the IAB-donor-CU neither establishes the backhaul resources nor allocates any BAP address, TNL address or default BAP configuration for this IAB-node.</w:t>
            </w:r>
            <w:r>
              <w:rPr>
                <w:rFonts w:hint="default" w:ascii="Arial" w:hAnsi="Arial" w:cs="Arial"/>
                <w:lang w:val="en-US" w:eastAsia="zh-CN"/>
              </w:rPr>
              <w:t xml:space="preserve"> </w:t>
            </w:r>
          </w:p>
          <w:p w14:paraId="3D9A3F02">
            <w:pPr>
              <w:numPr>
                <w:ilvl w:val="0"/>
                <w:numId w:val="3"/>
              </w:numPr>
              <w:rPr>
                <w:rFonts w:hint="default" w:ascii="Arial" w:hAnsi="Arial" w:cs="Arial"/>
                <w:lang w:val="en-US" w:eastAsia="zh-CN"/>
              </w:rPr>
            </w:pPr>
            <w:r>
              <w:rPr>
                <w:rFonts w:hint="default" w:ascii="Arial" w:hAnsi="Arial" w:cs="Arial"/>
                <w:lang w:val="en-US" w:eastAsia="zh-CN"/>
              </w:rPr>
              <w:t>Update the description for the case when the IAB-MT is NR dual-connected with two IAB-donors.</w:t>
            </w:r>
          </w:p>
          <w:p w14:paraId="3D9A3F03">
            <w:pPr>
              <w:numPr>
                <w:ilvl w:val="0"/>
                <w:numId w:val="3"/>
              </w:numPr>
              <w:rPr>
                <w:rFonts w:hint="default" w:ascii="Arial" w:hAnsi="Arial" w:cs="Arial"/>
                <w:lang w:val="en-US" w:eastAsia="zh-CN"/>
              </w:rPr>
            </w:pPr>
            <w:r>
              <w:rPr>
                <w:rFonts w:hint="eastAsia" w:ascii="Arial" w:hAnsi="Arial" w:cs="Arial"/>
                <w:lang w:val="en-US" w:eastAsia="zh-CN"/>
              </w:rPr>
              <w:t>Remove</w:t>
            </w:r>
            <w:r>
              <w:rPr>
                <w:rFonts w:hint="default" w:ascii="Arial" w:hAnsi="Arial" w:cs="Arial"/>
                <w:lang w:val="en-US" w:eastAsia="zh-CN"/>
              </w:rPr>
              <w:t xml:space="preserve"> the term “non-IAB-capable gNB” in caluse 8.9.17.2.2.</w:t>
            </w:r>
          </w:p>
          <w:p w14:paraId="3D9A3F04">
            <w:pPr>
              <w:numPr>
                <w:ilvl w:val="0"/>
                <w:numId w:val="3"/>
              </w:numPr>
              <w:rPr>
                <w:rFonts w:hint="default" w:ascii="Arial" w:hAnsi="Arial" w:cs="Arial"/>
              </w:rPr>
            </w:pPr>
            <w:r>
              <w:rPr>
                <w:rFonts w:hint="default" w:ascii="Arial" w:hAnsi="Arial" w:cs="Arial"/>
                <w:lang w:val="en-US" w:eastAsia="zh-CN"/>
              </w:rPr>
              <w:t>Replace “IAB-donor-CU” with “IAB-donor” in caluse 8.9.17.2.2.</w:t>
            </w:r>
          </w:p>
          <w:p w14:paraId="3D9A3F05">
            <w:pPr>
              <w:numPr>
                <w:ilvl w:val="0"/>
                <w:numId w:val="3"/>
              </w:numPr>
              <w:rPr>
                <w:rFonts w:hint="default" w:ascii="Arial" w:hAnsi="Arial" w:eastAsia="宋体" w:cs="Arial"/>
                <w:b/>
                <w:bCs/>
                <w:lang w:val="en-US" w:eastAsia="zh-CN"/>
              </w:rPr>
            </w:pPr>
            <w:r>
              <w:rPr>
                <w:rFonts w:hint="default" w:ascii="Arial" w:hAnsi="Arial" w:cs="Arial"/>
                <w:lang w:val="en-US" w:eastAsia="zh-CN"/>
              </w:rPr>
              <w:t>Clarify that t</w:t>
            </w:r>
            <w:r>
              <w:rPr>
                <w:rFonts w:hint="default" w:ascii="Arial" w:hAnsi="Arial" w:cs="Arial"/>
              </w:rPr>
              <w:t>he F1-terminating IAB-donor-CU</w:t>
            </w:r>
            <w:r>
              <w:rPr>
                <w:rFonts w:hint="default" w:ascii="Arial" w:hAnsi="Arial" w:eastAsia="宋体" w:cs="Arial"/>
                <w:lang w:val="en-US" w:eastAsia="zh-CN"/>
              </w:rPr>
              <w:t xml:space="preserve"> or </w:t>
            </w:r>
            <w:r>
              <w:rPr>
                <w:rFonts w:hint="default" w:ascii="Arial" w:hAnsi="Arial" w:cs="Arial"/>
              </w:rPr>
              <w:t>non-F1-terminating IAB-donor-CU then may indicate to the 5GC that the IAB-MT can be de-registered</w:t>
            </w:r>
            <w:r>
              <w:rPr>
                <w:rFonts w:hint="default" w:ascii="Arial" w:hAnsi="Arial" w:eastAsia="宋体" w:cs="Arial"/>
                <w:lang w:val="en-US" w:eastAsia="zh-CN"/>
              </w:rPr>
              <w:t>.</w:t>
            </w:r>
          </w:p>
          <w:p w14:paraId="3D9A3F06">
            <w:pPr>
              <w:spacing w:before="40" w:after="96" w:afterLines="40"/>
              <w:rPr>
                <w:rFonts w:ascii="Arial" w:hAnsi="Arial" w:cs="Arial"/>
                <w:b/>
                <w:lang w:eastAsia="zh-CN"/>
              </w:rPr>
            </w:pPr>
          </w:p>
          <w:p w14:paraId="3D9A3F07">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14:paraId="3D9A3F08">
            <w:pPr>
              <w:pStyle w:val="94"/>
              <w:spacing w:after="0"/>
              <w:rPr>
                <w:rFonts w:cs="Arial"/>
              </w:rPr>
            </w:pPr>
            <w:r>
              <w:rPr>
                <w:rFonts w:cs="Arial"/>
              </w:rPr>
              <w:t xml:space="preserve">Impact assessment towards the previous version of the specification (same release): </w:t>
            </w:r>
          </w:p>
          <w:p w14:paraId="3D9A3F09">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D9A3F0A">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hint="eastAsia" w:eastAsia="宋体" w:cs="Arial"/>
                <w:lang w:val="en-US" w:eastAsia="zh-CN"/>
              </w:rPr>
              <w:t>IAB node authorization</w:t>
            </w:r>
            <w:r>
              <w:rPr>
                <w:rFonts w:cs="Arial"/>
              </w:rPr>
              <w:t>.</w:t>
            </w:r>
          </w:p>
        </w:tc>
      </w:tr>
      <w:tr w14:paraId="3D9A3F0E">
        <w:tblPrEx>
          <w:tblCellMar>
            <w:top w:w="0" w:type="dxa"/>
            <w:left w:w="42" w:type="dxa"/>
            <w:bottom w:w="0" w:type="dxa"/>
            <w:right w:w="42" w:type="dxa"/>
          </w:tblCellMar>
        </w:tblPrEx>
        <w:tc>
          <w:tcPr>
            <w:tcW w:w="2694" w:type="dxa"/>
            <w:gridSpan w:val="2"/>
            <w:tcBorders>
              <w:left w:val="single" w:color="auto" w:sz="4" w:space="0"/>
            </w:tcBorders>
          </w:tcPr>
          <w:p w14:paraId="3D9A3F0C">
            <w:pPr>
              <w:pStyle w:val="94"/>
              <w:spacing w:after="0"/>
              <w:rPr>
                <w:b/>
                <w:i/>
                <w:sz w:val="8"/>
                <w:szCs w:val="8"/>
              </w:rPr>
            </w:pPr>
          </w:p>
        </w:tc>
        <w:tc>
          <w:tcPr>
            <w:tcW w:w="6946" w:type="dxa"/>
            <w:gridSpan w:val="9"/>
            <w:tcBorders>
              <w:right w:val="single" w:color="auto" w:sz="4" w:space="0"/>
            </w:tcBorders>
          </w:tcPr>
          <w:p w14:paraId="3D9A3F0D">
            <w:pPr>
              <w:pStyle w:val="94"/>
              <w:spacing w:after="0"/>
              <w:rPr>
                <w:color w:val="FF0000"/>
                <w:sz w:val="8"/>
                <w:szCs w:val="8"/>
              </w:rPr>
            </w:pPr>
          </w:p>
        </w:tc>
      </w:tr>
      <w:tr w14:paraId="3D9A3F11">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9A3F0F">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9A3F10">
            <w:pPr>
              <w:rPr>
                <w:rFonts w:ascii="Arial" w:hAnsi="Arial" w:eastAsia="宋体" w:cs="Arial"/>
                <w:lang w:val="en-US" w:eastAsia="zh-CN"/>
              </w:rPr>
            </w:pPr>
            <w:r>
              <w:rPr>
                <w:rFonts w:hint="eastAsia" w:ascii="Arial" w:hAnsi="Arial" w:eastAsia="宋体" w:cs="Arial"/>
                <w:lang w:val="en-US" w:eastAsia="zh-CN"/>
              </w:rPr>
              <w:t xml:space="preserve">The stage 2 description of IAB node authorization is incorrect and incomplete. </w:t>
            </w:r>
          </w:p>
        </w:tc>
      </w:tr>
      <w:tr w14:paraId="3D9A3F14">
        <w:tblPrEx>
          <w:tblCellMar>
            <w:top w:w="0" w:type="dxa"/>
            <w:left w:w="42" w:type="dxa"/>
            <w:bottom w:w="0" w:type="dxa"/>
            <w:right w:w="42" w:type="dxa"/>
          </w:tblCellMar>
        </w:tblPrEx>
        <w:tc>
          <w:tcPr>
            <w:tcW w:w="2694" w:type="dxa"/>
            <w:gridSpan w:val="2"/>
          </w:tcPr>
          <w:p w14:paraId="3D9A3F12">
            <w:pPr>
              <w:pStyle w:val="94"/>
              <w:spacing w:after="0"/>
              <w:rPr>
                <w:b/>
                <w:i/>
                <w:sz w:val="8"/>
                <w:szCs w:val="8"/>
              </w:rPr>
            </w:pPr>
          </w:p>
        </w:tc>
        <w:tc>
          <w:tcPr>
            <w:tcW w:w="6946" w:type="dxa"/>
            <w:gridSpan w:val="9"/>
          </w:tcPr>
          <w:p w14:paraId="3D9A3F13">
            <w:pPr>
              <w:pStyle w:val="94"/>
              <w:spacing w:after="0"/>
              <w:rPr>
                <w:rFonts w:cs="Arial"/>
                <w:sz w:val="8"/>
                <w:szCs w:val="8"/>
              </w:rPr>
            </w:pPr>
          </w:p>
        </w:tc>
      </w:tr>
      <w:tr w14:paraId="3D9A3F17">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D9A3F15">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9A3F16">
            <w:pPr>
              <w:rPr>
                <w:rFonts w:ascii="Arial" w:hAnsi="Arial" w:eastAsia="宋体" w:cs="Arial"/>
                <w:lang w:val="en-US" w:eastAsia="zh-CN"/>
              </w:rPr>
            </w:pPr>
            <w:r>
              <w:rPr>
                <w:rFonts w:hint="eastAsia" w:ascii="Arial" w:hAnsi="Arial" w:eastAsia="宋体" w:cs="Arial"/>
                <w:lang w:val="en-US" w:eastAsia="zh-CN"/>
              </w:rPr>
              <w:t xml:space="preserve">3.1, 8.9.17.2.1, 8.9.17.2.2, 8.9.17.3. </w:t>
            </w:r>
          </w:p>
        </w:tc>
      </w:tr>
      <w:tr w14:paraId="3D9A3F1A">
        <w:tblPrEx>
          <w:tblCellMar>
            <w:top w:w="0" w:type="dxa"/>
            <w:left w:w="42" w:type="dxa"/>
            <w:bottom w:w="0" w:type="dxa"/>
            <w:right w:w="42" w:type="dxa"/>
          </w:tblCellMar>
        </w:tblPrEx>
        <w:tc>
          <w:tcPr>
            <w:tcW w:w="2694" w:type="dxa"/>
            <w:gridSpan w:val="2"/>
            <w:tcBorders>
              <w:left w:val="single" w:color="auto" w:sz="4" w:space="0"/>
            </w:tcBorders>
          </w:tcPr>
          <w:p w14:paraId="3D9A3F18">
            <w:pPr>
              <w:pStyle w:val="94"/>
              <w:spacing w:after="0"/>
              <w:rPr>
                <w:b/>
                <w:i/>
                <w:sz w:val="8"/>
                <w:szCs w:val="8"/>
              </w:rPr>
            </w:pPr>
          </w:p>
        </w:tc>
        <w:tc>
          <w:tcPr>
            <w:tcW w:w="6946" w:type="dxa"/>
            <w:gridSpan w:val="9"/>
            <w:tcBorders>
              <w:right w:val="single" w:color="auto" w:sz="4" w:space="0"/>
            </w:tcBorders>
          </w:tcPr>
          <w:p w14:paraId="3D9A3F19">
            <w:pPr>
              <w:pStyle w:val="94"/>
              <w:spacing w:after="0"/>
              <w:rPr>
                <w:sz w:val="8"/>
                <w:szCs w:val="8"/>
              </w:rPr>
            </w:pPr>
          </w:p>
        </w:tc>
      </w:tr>
      <w:tr w14:paraId="3D9A3F20">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1B">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14:paraId="3D9A3F1C">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D9A3F1D">
            <w:pPr>
              <w:pStyle w:val="94"/>
              <w:spacing w:after="0"/>
              <w:jc w:val="center"/>
              <w:rPr>
                <w:b/>
                <w:caps/>
              </w:rPr>
            </w:pPr>
            <w:r>
              <w:rPr>
                <w:b/>
                <w:caps/>
              </w:rPr>
              <w:t>N</w:t>
            </w:r>
          </w:p>
        </w:tc>
        <w:tc>
          <w:tcPr>
            <w:tcW w:w="2977" w:type="dxa"/>
            <w:gridSpan w:val="4"/>
            <w:shd w:val="clear" w:color="auto" w:fill="auto"/>
          </w:tcPr>
          <w:p w14:paraId="3D9A3F1E">
            <w:pPr>
              <w:pStyle w:val="94"/>
              <w:tabs>
                <w:tab w:val="right" w:pos="2893"/>
              </w:tabs>
              <w:spacing w:after="0"/>
            </w:pPr>
          </w:p>
        </w:tc>
        <w:tc>
          <w:tcPr>
            <w:tcW w:w="3401" w:type="dxa"/>
            <w:gridSpan w:val="3"/>
            <w:tcBorders>
              <w:right w:val="single" w:color="auto" w:sz="4" w:space="0"/>
            </w:tcBorders>
            <w:shd w:val="clear" w:color="FFFF00" w:fill="auto"/>
          </w:tcPr>
          <w:p w14:paraId="3D9A3F1F">
            <w:pPr>
              <w:pStyle w:val="94"/>
              <w:spacing w:after="0"/>
              <w:ind w:left="99"/>
            </w:pPr>
          </w:p>
        </w:tc>
      </w:tr>
      <w:tr w14:paraId="3D9A3F2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1">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9A3F22">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3">
            <w:pPr>
              <w:pStyle w:val="94"/>
              <w:spacing w:after="0"/>
              <w:jc w:val="center"/>
              <w:rPr>
                <w:b/>
                <w:caps/>
              </w:rPr>
            </w:pPr>
            <w:r>
              <w:rPr>
                <w:b/>
                <w:caps/>
              </w:rPr>
              <w:t>X</w:t>
            </w:r>
          </w:p>
        </w:tc>
        <w:tc>
          <w:tcPr>
            <w:tcW w:w="2977" w:type="dxa"/>
            <w:gridSpan w:val="4"/>
            <w:shd w:val="clear" w:color="auto" w:fill="auto"/>
          </w:tcPr>
          <w:p w14:paraId="3D9A3F24">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D9A3F25">
            <w:pPr>
              <w:pStyle w:val="94"/>
              <w:spacing w:after="0"/>
              <w:ind w:left="99"/>
              <w:rPr>
                <w:rFonts w:eastAsia="宋体"/>
                <w:lang w:val="en-US" w:eastAsia="zh-CN"/>
              </w:rPr>
            </w:pPr>
            <w:r>
              <w:t xml:space="preserve">TS/TR ... CR ... </w:t>
            </w:r>
          </w:p>
        </w:tc>
      </w:tr>
      <w:tr w14:paraId="3D9A3F2C">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7">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9A3F28">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9">
            <w:pPr>
              <w:pStyle w:val="94"/>
              <w:spacing w:after="0"/>
              <w:jc w:val="center"/>
              <w:rPr>
                <w:b/>
                <w:caps/>
              </w:rPr>
            </w:pPr>
            <w:r>
              <w:rPr>
                <w:b/>
                <w:caps/>
              </w:rPr>
              <w:t>X</w:t>
            </w:r>
          </w:p>
        </w:tc>
        <w:tc>
          <w:tcPr>
            <w:tcW w:w="2977" w:type="dxa"/>
            <w:gridSpan w:val="4"/>
            <w:shd w:val="clear" w:color="auto" w:fill="auto"/>
          </w:tcPr>
          <w:p w14:paraId="3D9A3F2A">
            <w:pPr>
              <w:pStyle w:val="94"/>
              <w:spacing w:after="0"/>
            </w:pPr>
            <w:r>
              <w:t xml:space="preserve"> Test specifications</w:t>
            </w:r>
          </w:p>
        </w:tc>
        <w:tc>
          <w:tcPr>
            <w:tcW w:w="3401" w:type="dxa"/>
            <w:gridSpan w:val="3"/>
            <w:tcBorders>
              <w:right w:val="single" w:color="auto" w:sz="4" w:space="0"/>
            </w:tcBorders>
            <w:shd w:val="pct30" w:color="FFFF00" w:fill="auto"/>
          </w:tcPr>
          <w:p w14:paraId="3D9A3F2B">
            <w:pPr>
              <w:pStyle w:val="94"/>
              <w:spacing w:after="0"/>
              <w:ind w:left="99"/>
            </w:pPr>
            <w:r>
              <w:t xml:space="preserve">TS/TR ... CR ... </w:t>
            </w:r>
          </w:p>
        </w:tc>
      </w:tr>
      <w:tr w14:paraId="3D9A3F32">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D">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D9A3F2E">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F">
            <w:pPr>
              <w:pStyle w:val="94"/>
              <w:spacing w:after="0"/>
              <w:jc w:val="center"/>
              <w:rPr>
                <w:b/>
                <w:caps/>
              </w:rPr>
            </w:pPr>
            <w:r>
              <w:rPr>
                <w:b/>
                <w:caps/>
              </w:rPr>
              <w:t>X</w:t>
            </w:r>
          </w:p>
        </w:tc>
        <w:tc>
          <w:tcPr>
            <w:tcW w:w="2977" w:type="dxa"/>
            <w:gridSpan w:val="4"/>
            <w:shd w:val="clear" w:color="auto" w:fill="auto"/>
          </w:tcPr>
          <w:p w14:paraId="3D9A3F30">
            <w:pPr>
              <w:pStyle w:val="94"/>
              <w:spacing w:after="0"/>
            </w:pPr>
            <w:r>
              <w:t xml:space="preserve"> O&amp;M Specifications</w:t>
            </w:r>
          </w:p>
        </w:tc>
        <w:tc>
          <w:tcPr>
            <w:tcW w:w="3401" w:type="dxa"/>
            <w:gridSpan w:val="3"/>
            <w:tcBorders>
              <w:right w:val="single" w:color="auto" w:sz="4" w:space="0"/>
            </w:tcBorders>
            <w:shd w:val="pct30" w:color="FFFF00" w:fill="auto"/>
          </w:tcPr>
          <w:p w14:paraId="3D9A3F31">
            <w:pPr>
              <w:pStyle w:val="94"/>
              <w:spacing w:after="0"/>
              <w:ind w:left="99"/>
            </w:pPr>
            <w:r>
              <w:t xml:space="preserve">TS/TR ... CR ... </w:t>
            </w:r>
          </w:p>
        </w:tc>
      </w:tr>
      <w:tr w14:paraId="3D9A3F35">
        <w:tblPrEx>
          <w:tblCellMar>
            <w:top w:w="0" w:type="dxa"/>
            <w:left w:w="42" w:type="dxa"/>
            <w:bottom w:w="0" w:type="dxa"/>
            <w:right w:w="42" w:type="dxa"/>
          </w:tblCellMar>
        </w:tblPrEx>
        <w:tc>
          <w:tcPr>
            <w:tcW w:w="2694" w:type="dxa"/>
            <w:gridSpan w:val="2"/>
            <w:tcBorders>
              <w:left w:val="single" w:color="auto" w:sz="4" w:space="0"/>
            </w:tcBorders>
          </w:tcPr>
          <w:p w14:paraId="3D9A3F33">
            <w:pPr>
              <w:pStyle w:val="94"/>
              <w:spacing w:after="0"/>
              <w:rPr>
                <w:b/>
                <w:i/>
              </w:rPr>
            </w:pPr>
          </w:p>
        </w:tc>
        <w:tc>
          <w:tcPr>
            <w:tcW w:w="6946" w:type="dxa"/>
            <w:gridSpan w:val="9"/>
            <w:tcBorders>
              <w:right w:val="single" w:color="auto" w:sz="4" w:space="0"/>
            </w:tcBorders>
          </w:tcPr>
          <w:p w14:paraId="3D9A3F34">
            <w:pPr>
              <w:pStyle w:val="94"/>
              <w:spacing w:after="0"/>
            </w:pPr>
          </w:p>
        </w:tc>
      </w:tr>
      <w:tr w14:paraId="3D9A3F38">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9A3F36">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D9A3F37">
            <w:pPr>
              <w:pStyle w:val="94"/>
              <w:spacing w:after="0"/>
              <w:ind w:left="100"/>
              <w:rPr>
                <w:rFonts w:eastAsia="宋体"/>
                <w:lang w:val="en-US" w:eastAsia="zh-CN"/>
              </w:rPr>
            </w:pPr>
            <w:r>
              <w:rPr>
                <w:rFonts w:hint="eastAsia" w:eastAsia="宋体"/>
                <w:lang w:val="en-US" w:eastAsia="zh-CN"/>
              </w:rPr>
              <w:t>-</w:t>
            </w:r>
          </w:p>
        </w:tc>
      </w:tr>
    </w:tbl>
    <w:p w14:paraId="3D9A3F39">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14:paraId="3D9A3F3C">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14:paraId="3D9A3F3A">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14:paraId="32B232B6">
            <w:pPr>
              <w:widowControl w:val="0"/>
              <w:numPr>
                <w:ilvl w:val="0"/>
                <w:numId w:val="4"/>
              </w:numPr>
              <w:rPr>
                <w:rFonts w:hint="default" w:ascii="Arial" w:hAnsi="Arial" w:eastAsia="宋体" w:cs="Arial"/>
                <w:lang w:val="en-US" w:eastAsia="zh-CN"/>
              </w:rPr>
            </w:pPr>
            <w:r>
              <w:rPr>
                <w:rFonts w:hint="default" w:ascii="Arial" w:hAnsi="Arial" w:eastAsia="宋体" w:cs="Arial"/>
                <w:lang w:val="en-US" w:eastAsia="zh-CN"/>
              </w:rPr>
              <w:t>Rev 1</w:t>
            </w:r>
          </w:p>
          <w:p w14:paraId="163BBFD9">
            <w:pPr>
              <w:widowControl w:val="0"/>
              <w:numPr>
                <w:ilvl w:val="0"/>
                <w:numId w:val="0"/>
              </w:numPr>
              <w:ind w:leftChars="0"/>
              <w:rPr>
                <w:rFonts w:eastAsia="宋体"/>
                <w:lang w:val="en-US" w:eastAsia="zh-CN"/>
              </w:rPr>
            </w:pPr>
            <w:r>
              <w:rPr>
                <w:rFonts w:hint="default" w:ascii="Arial" w:hAnsi="Arial" w:eastAsia="宋体" w:cs="Arial"/>
                <w:lang w:val="en-US" w:eastAsia="zh-CN"/>
              </w:rPr>
              <w:t xml:space="preserve">Merge the corresponding changes for IAB authorization to TS 38.401. </w:t>
            </w:r>
          </w:p>
        </w:tc>
      </w:tr>
    </w:tbl>
    <w:p w14:paraId="10402E97">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14:paraId="3D9A3F3E">
      <w:pPr>
        <w:jc w:val="center"/>
        <w:rPr>
          <w:highlight w:val="yellow"/>
        </w:rPr>
      </w:pPr>
      <w:bookmarkStart w:id="3" w:name="_Toc98868180"/>
      <w:bookmarkStart w:id="4" w:name="_Toc46488688"/>
      <w:bookmarkStart w:id="5" w:name="_Toc52574109"/>
      <w:bookmarkStart w:id="6" w:name="_Toc100877284"/>
      <w:bookmarkStart w:id="7" w:name="_Toc98868183"/>
      <w:bookmarkStart w:id="8" w:name="_Toc52574195"/>
      <w:r>
        <w:rPr>
          <w:highlight w:val="yellow"/>
        </w:rPr>
        <w:t>-------------------------------------------Start of change-------------------------------------------</w:t>
      </w:r>
      <w:bookmarkStart w:id="9" w:name="_Toc105927835"/>
      <w:bookmarkStart w:id="10" w:name="_Toc105511303"/>
      <w:bookmarkStart w:id="11" w:name="_Toc99038909"/>
      <w:bookmarkStart w:id="12" w:name="_Toc106110375"/>
      <w:bookmarkStart w:id="13" w:name="_Toc99731172"/>
    </w:p>
    <w:p w14:paraId="3D9A3F40">
      <w:pPr>
        <w:pStyle w:val="3"/>
        <w:rPr>
          <w:lang w:val="en-US"/>
        </w:rPr>
      </w:pPr>
      <w:bookmarkStart w:id="14" w:name="_CR3_1"/>
      <w:bookmarkEnd w:id="14"/>
      <w:bookmarkStart w:id="15" w:name="_Toc106108473"/>
      <w:bookmarkStart w:id="16" w:name="_Toc112703204"/>
      <w:bookmarkStart w:id="17" w:name="_Toc170728464"/>
      <w:bookmarkStart w:id="18" w:name="_Toc107829445"/>
      <w:bookmarkStart w:id="19" w:name="_Toc64445086"/>
      <w:bookmarkStart w:id="20" w:name="_Toc13919106"/>
      <w:bookmarkStart w:id="21" w:name="_Toc45883215"/>
      <w:bookmarkStart w:id="22" w:name="_Toc52266308"/>
      <w:bookmarkStart w:id="23" w:name="_Toc73980445"/>
      <w:bookmarkStart w:id="24" w:name="_Toc98747969"/>
      <w:bookmarkStart w:id="25" w:name="_Toc105704355"/>
      <w:bookmarkStart w:id="26" w:name="_Toc36560499"/>
      <w:bookmarkStart w:id="27" w:name="_Toc98351671"/>
      <w:bookmarkStart w:id="28" w:name="_Toc88651141"/>
      <w:bookmarkStart w:id="29" w:name="_Toc45104732"/>
      <w:bookmarkStart w:id="30" w:name="_Toc51763494"/>
      <w:bookmarkStart w:id="31" w:name="_Toc29391468"/>
      <w:r>
        <w:rPr>
          <w:lang w:val="en-US"/>
        </w:rPr>
        <w:t>3.1</w:t>
      </w:r>
      <w:r>
        <w:rPr>
          <w:lang w:val="en-US"/>
        </w:rPr>
        <w:tab/>
      </w:r>
      <w:r>
        <w:rPr>
          <w:lang w:val="en-US"/>
        </w:rPr>
        <w:t>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D9A3F41">
      <w:pPr>
        <w:rPr>
          <w:ins w:id="0" w:author="Qualcomm" w:date="2024-08-20T08:48:00Z"/>
        </w:rPr>
      </w:pPr>
      <w:r>
        <w:rPr>
          <w:highlight w:val="yellow"/>
        </w:rPr>
        <w:t>&gt;&gt;&gt;SKIP</w:t>
      </w:r>
    </w:p>
    <w:p w14:paraId="3D9A3F42">
      <w:r>
        <w:rPr>
          <w:b/>
        </w:rPr>
        <w:t>IAB-node</w:t>
      </w:r>
      <w:r>
        <w:t>: as defined in TS 38.300 [2].</w:t>
      </w:r>
    </w:p>
    <w:p w14:paraId="3D9A3F43">
      <w:r>
        <w:rPr>
          <w:b/>
        </w:rPr>
        <w:t>IAB-donor</w:t>
      </w:r>
      <w:r>
        <w:t>:</w:t>
      </w:r>
      <w:r>
        <w:rPr>
          <w:b/>
        </w:rPr>
        <w:t xml:space="preserve"> </w:t>
      </w:r>
      <w:r>
        <w:t>as defined in TS 38.300 [2].</w:t>
      </w:r>
    </w:p>
    <w:p w14:paraId="3D9A3F44">
      <w:r>
        <w:rPr>
          <w:b/>
        </w:rPr>
        <w:t>IAB-donor-CU</w:t>
      </w:r>
      <w:r>
        <w:t>: the gNB-CU of an IAB-donor, terminating the F1 interface towards IAB-nodes and IAB-donor-DU.</w:t>
      </w:r>
    </w:p>
    <w:p w14:paraId="3D9A3F45">
      <w:r>
        <w:rPr>
          <w:b/>
        </w:rPr>
        <w:t>IAB-donor-DU</w:t>
      </w:r>
      <w:r>
        <w:t>: the gNB-DU of an IAB-donor, hosting the IAB BAP sublayer (as defined in TS 38.340 [22]), providing wireless backhaul to IAB-nodes.</w:t>
      </w:r>
    </w:p>
    <w:p w14:paraId="3D9A3F46">
      <w:bookmarkStart w:id="32" w:name="OLE_LINK19"/>
      <w:r>
        <w:rPr>
          <w:b/>
        </w:rPr>
        <w:t>IAB-DU</w:t>
      </w:r>
      <w:r>
        <w:t>: as defined in TS 38.300 [2].</w:t>
      </w:r>
      <w:bookmarkEnd w:id="32"/>
    </w:p>
    <w:p w14:paraId="3D9A3F47">
      <w:pPr>
        <w:rPr>
          <w:b/>
        </w:rPr>
      </w:pPr>
      <w:r>
        <w:rPr>
          <w:b/>
        </w:rPr>
        <w:t>IAB-MT</w:t>
      </w:r>
      <w:r>
        <w:t>: as defined in TS 38.300 [2].</w:t>
      </w:r>
    </w:p>
    <w:p w14:paraId="3D9A3F48">
      <w:r>
        <w:rPr>
          <w:b/>
          <w:bCs/>
        </w:rPr>
        <w:t>IAB Topology</w:t>
      </w:r>
      <w:r>
        <w:t>: as defined in TS 38.300 [2].</w:t>
      </w:r>
    </w:p>
    <w:p w14:paraId="3D9A3F49">
      <w:pPr>
        <w:rPr>
          <w:ins w:id="1" w:author="Qualcomm" w:date="2024-08-20T08:48:00Z"/>
        </w:rPr>
      </w:pPr>
      <w:r>
        <w:rPr>
          <w:highlight w:val="yellow"/>
        </w:rPr>
        <w:t>&gt;&gt;&gt;SKIP</w:t>
      </w:r>
    </w:p>
    <w:p w14:paraId="11F841F1">
      <w:pPr>
        <w:rPr>
          <w:ins w:id="2" w:author="ZTE" w:date="2024-08-22T19:38:57Z"/>
          <w:rFonts w:hint="eastAsia" w:eastAsia="宋体"/>
          <w:lang w:val="en-US" w:eastAsia="zh-CN"/>
        </w:rPr>
      </w:pPr>
      <w:ins w:id="3" w:author="ZTE" w:date="2024-08-22T19:38:57Z">
        <w:r>
          <w:rPr>
            <w:b/>
            <w:bCs/>
          </w:rPr>
          <w:t>Non-IAB-donor gNB:</w:t>
        </w:r>
      </w:ins>
      <w:ins w:id="4" w:author="ZTE" w:date="2024-08-22T19:38:57Z">
        <w:r>
          <w:rPr/>
          <w:t xml:space="preserve"> gNB, which supports </w:t>
        </w:r>
      </w:ins>
      <w:ins w:id="5" w:author="ZTE" w:date="2024-08-22T19:38:57Z">
        <w:r>
          <w:rPr>
            <w:rFonts w:hint="eastAsia" w:eastAsia="宋体"/>
            <w:lang w:val="en-US" w:eastAsia="zh-CN"/>
          </w:rPr>
          <w:t xml:space="preserve">some IAB functionality, e.g., </w:t>
        </w:r>
      </w:ins>
      <w:ins w:id="6" w:author="ZTE" w:date="2024-08-22T19:38:57Z">
        <w:r>
          <w:rPr/>
          <w:t xml:space="preserve">the forwarding of F1-C </w:t>
        </w:r>
      </w:ins>
      <w:ins w:id="7" w:author="ZTE" w:date="2024-08-22T19:38:57Z">
        <w:r>
          <w:rPr>
            <w:rFonts w:hint="eastAsia" w:eastAsia="宋体"/>
            <w:lang w:val="en-US" w:eastAsia="zh-CN"/>
          </w:rPr>
          <w:t xml:space="preserve">related traffic </w:t>
        </w:r>
      </w:ins>
      <w:ins w:id="8" w:author="ZTE" w:date="2024-08-22T19:38:57Z">
        <w:r>
          <w:rPr/>
          <w:t>between an IAB-donor-CU and an IAB-DU, and forwarding the authorization status to the peer gNB in DC scenario</w:t>
        </w:r>
      </w:ins>
      <w:ins w:id="9" w:author="ZTE" w:date="2024-08-22T19:38:57Z">
        <w:r>
          <w:rPr>
            <w:rFonts w:hint="eastAsia" w:eastAsia="宋体"/>
            <w:lang w:val="en-US" w:eastAsia="zh-CN"/>
          </w:rPr>
          <w:t>.</w:t>
        </w:r>
      </w:ins>
    </w:p>
    <w:p w14:paraId="3D9A3F4C">
      <w:pPr>
        <w:rPr>
          <w:ins w:id="10" w:author="Qualcomm" w:date="2024-08-20T08:48:00Z"/>
        </w:rPr>
      </w:pPr>
      <w:r>
        <w:rPr>
          <w:highlight w:val="yellow"/>
        </w:rPr>
        <w:t>&gt;&gt;&gt;SKIP</w:t>
      </w:r>
    </w:p>
    <w:p w14:paraId="3D9A3F4D">
      <w:pPr>
        <w:jc w:val="center"/>
        <w:rPr>
          <w:highlight w:val="yellow"/>
        </w:rPr>
      </w:pPr>
      <w:r>
        <w:rPr>
          <w:highlight w:val="yellow"/>
        </w:rPr>
        <w:t>-------------------------------------------Next change-------------------------------------------</w:t>
      </w:r>
    </w:p>
    <w:p w14:paraId="3D9A3F4E">
      <w:pPr>
        <w:jc w:val="center"/>
        <w:rPr>
          <w:highlight w:val="yellow"/>
        </w:rPr>
      </w:pPr>
    </w:p>
    <w:bookmarkEnd w:id="3"/>
    <w:bookmarkEnd w:id="4"/>
    <w:bookmarkEnd w:id="5"/>
    <w:bookmarkEnd w:id="6"/>
    <w:bookmarkEnd w:id="7"/>
    <w:bookmarkEnd w:id="8"/>
    <w:bookmarkEnd w:id="9"/>
    <w:bookmarkEnd w:id="10"/>
    <w:bookmarkEnd w:id="11"/>
    <w:bookmarkEnd w:id="12"/>
    <w:bookmarkEnd w:id="13"/>
    <w:p w14:paraId="3D9A3F4F"/>
    <w:p w14:paraId="3D9A3F50">
      <w:pPr>
        <w:pStyle w:val="5"/>
      </w:pPr>
      <w:bookmarkStart w:id="33" w:name="_CR8_9_17_2"/>
      <w:bookmarkEnd w:id="33"/>
      <w:bookmarkStart w:id="34" w:name="_Toc170728576"/>
      <w:r>
        <w:t>8.9.17.2</w:t>
      </w:r>
      <w:r>
        <w:tab/>
      </w:r>
      <w:r>
        <w:t>IAB-node with single IAB-donor in SA</w:t>
      </w:r>
      <w:bookmarkEnd w:id="34"/>
    </w:p>
    <w:p w14:paraId="3D9A3F51">
      <w:pPr>
        <w:pStyle w:val="6"/>
        <w:rPr>
          <w:rFonts w:eastAsia="Malgun Gothic"/>
          <w:lang w:eastAsia="ja-JP"/>
        </w:rPr>
      </w:pPr>
      <w:bookmarkStart w:id="35" w:name="_CR8_9_17_2_1"/>
      <w:bookmarkEnd w:id="35"/>
      <w:bookmarkStart w:id="36" w:name="_Toc170728577"/>
      <w:bookmarkStart w:id="37" w:name="MCCQCTEMPBM_00000050"/>
      <w:r>
        <w:rPr>
          <w:rFonts w:eastAsia="Malgun Gothic"/>
          <w:lang w:eastAsia="ja-JP"/>
        </w:rPr>
        <w:t>8.9.17.2.1</w:t>
      </w:r>
      <w:r>
        <w:rPr>
          <w:rFonts w:eastAsia="Malgun Gothic"/>
          <w:lang w:eastAsia="ja-JP"/>
        </w:rPr>
        <w:tab/>
      </w:r>
      <w:r>
        <w:rPr>
          <w:rFonts w:eastAsia="Malgun Gothic"/>
          <w:lang w:eastAsia="ja-JP"/>
        </w:rPr>
        <w:t>IAB-node is single-connected</w:t>
      </w:r>
      <w:bookmarkEnd w:id="36"/>
    </w:p>
    <w:bookmarkEnd w:id="37"/>
    <w:p w14:paraId="3D9A3F52">
      <w:r>
        <w:t>During the IAB-node network integration or RLF recovery, the IAB-donor-CU receives the authorization status of the IAB-node from the 5GC. Also, during the inter-CU topology adaptation procedure, the target IAB-donor-</w:t>
      </w:r>
      <w:r>
        <w:rPr>
          <w:rFonts w:hint="eastAsia"/>
        </w:rPr>
        <w:t>CU</w:t>
      </w:r>
      <w:r>
        <w:t xml:space="preserve"> </w:t>
      </w:r>
      <w:r>
        <w:rPr>
          <w:rFonts w:hint="eastAsia"/>
        </w:rPr>
        <w:t>receives</w:t>
      </w:r>
      <w:r>
        <w:t xml:space="preserve"> the authorization status of the IAB-node from the source IAB-donor-CU as well as from the 5GC </w:t>
      </w:r>
      <w:r>
        <w:rPr>
          <w:rFonts w:hint="eastAsia"/>
        </w:rPr>
        <w:t>when</w:t>
      </w:r>
      <w:r>
        <w:t xml:space="preserve"> </w:t>
      </w:r>
      <w:r>
        <w:rPr>
          <w:rFonts w:hint="eastAsia"/>
        </w:rPr>
        <w:t>performing</w:t>
      </w:r>
      <w:r>
        <w:t xml:space="preserve"> the Path Switch Request procedure. If the authorization status is</w:t>
      </w:r>
      <w:r>
        <w:rPr>
          <w:rFonts w:hint="eastAsia" w:eastAsia="宋体"/>
          <w:lang w:val="en-US" w:eastAsia="zh-CN"/>
        </w:rPr>
        <w:t xml:space="preserve"> </w:t>
      </w:r>
      <w:ins w:id="11" w:author="ZTE" w:date="2024-08-22T19:39:36Z">
        <w:r>
          <w:rPr>
            <w:rFonts w:hint="eastAsia" w:eastAsia="宋体"/>
            <w:lang w:val="en-US" w:eastAsia="zh-CN"/>
          </w:rPr>
          <w:t xml:space="preserve">received for the first time </w:t>
        </w:r>
      </w:ins>
      <w:ins w:id="12" w:author="ZTE" w:date="2024-08-22T19:39:36Z">
        <w:r>
          <w:rPr>
            <w:rFonts w:eastAsia="宋体"/>
            <w:lang w:val="en-US" w:eastAsia="zh-CN"/>
          </w:rPr>
          <w:t>by the IAB-donor-CU</w:t>
        </w:r>
      </w:ins>
      <w:ins w:id="13" w:author="ZTE" w:date="2024-08-22T19:39:36Z">
        <w:r>
          <w:rPr>
            <w:rFonts w:hint="eastAsia" w:eastAsia="宋体"/>
            <w:lang w:val="en-US" w:eastAsia="zh-CN"/>
          </w:rPr>
          <w:t xml:space="preserve"> and </w:t>
        </w:r>
      </w:ins>
      <w:ins w:id="14" w:author="ZTE" w:date="2024-08-22T19:39:36Z">
        <w:r>
          <w:rPr>
            <w:rFonts w:eastAsia="宋体"/>
            <w:lang w:val="en-US" w:eastAsia="zh-CN"/>
          </w:rPr>
          <w:t>if the status is</w:t>
        </w:r>
      </w:ins>
      <w:ins w:id="15" w:author="ZTE" w:date="2024-08-22T19:39:38Z">
        <w:r>
          <w:rPr>
            <w:rFonts w:hint="eastAsia" w:eastAsia="宋体"/>
            <w:lang w:val="en-US" w:eastAsia="zh-CN"/>
          </w:rPr>
          <w:t xml:space="preserve"> </w:t>
        </w:r>
      </w:ins>
      <w:r>
        <w:t>“not authorized”, the IAB-donor-CU neither establishes the backhaul resources nor allocates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clause 8.9.17.1.</w:t>
      </w:r>
    </w:p>
    <w:p w14:paraId="3D9A3F53">
      <w:r>
        <w:t>In case the updated authorization status is “not authorized”, after actions described in clause 8.9.17.1 have been completed, the IAB-donor-CU may indicate to the 5GC that the IAB-MT can be de-registered.</w:t>
      </w:r>
    </w:p>
    <w:p w14:paraId="3D9A3F54">
      <w:pPr>
        <w:pStyle w:val="6"/>
        <w:rPr>
          <w:rFonts w:eastAsia="Malgun Gothic"/>
          <w:lang w:eastAsia="ja-JP"/>
        </w:rPr>
      </w:pPr>
      <w:bookmarkStart w:id="38" w:name="_CR8_9_17_2_2"/>
      <w:bookmarkEnd w:id="38"/>
      <w:bookmarkStart w:id="39" w:name="_Toc170728578"/>
      <w:bookmarkStart w:id="40" w:name="MCCQCTEMPBM_00000051"/>
      <w:r>
        <w:rPr>
          <w:rFonts w:hint="eastAsia" w:eastAsia="Malgun Gothic"/>
          <w:lang w:eastAsia="ja-JP"/>
        </w:rPr>
        <w:t>8</w:t>
      </w:r>
      <w:r>
        <w:rPr>
          <w:rFonts w:eastAsia="Malgun Gothic"/>
          <w:lang w:eastAsia="ja-JP"/>
        </w:rPr>
        <w:t>.9.17.2.2</w:t>
      </w:r>
      <w:r>
        <w:rPr>
          <w:rFonts w:eastAsia="Malgun Gothic"/>
          <w:lang w:eastAsia="ja-JP"/>
        </w:rPr>
        <w:tab/>
      </w:r>
      <w:r>
        <w:rPr>
          <w:rFonts w:eastAsia="Malgun Gothic"/>
          <w:lang w:eastAsia="ja-JP"/>
        </w:rPr>
        <w:t>IAB-node is NR dual-connected</w:t>
      </w:r>
      <w:bookmarkEnd w:id="39"/>
    </w:p>
    <w:p w14:paraId="60907615">
      <w:r>
        <w:t xml:space="preserve">In case the IAB-node is dual-connected </w:t>
      </w:r>
      <w:ins w:id="16" w:author="ZTE" w:date="2024-08-22T19:43:29Z">
        <w:r>
          <w:rPr/>
          <w:t>and</w:t>
        </w:r>
      </w:ins>
      <w:ins w:id="17" w:author="ZTE" w:date="2024-08-22T19:43:29Z">
        <w:r>
          <w:rPr>
            <w:lang w:val="en-US"/>
          </w:rPr>
          <w:t xml:space="preserve"> the</w:t>
        </w:r>
      </w:ins>
      <w:ins w:id="18" w:author="ZTE" w:date="2024-08-22T19:43:29Z">
        <w:r>
          <w:rPr/>
          <w:t xml:space="preserve"> two parent nodes </w:t>
        </w:r>
      </w:ins>
      <w:ins w:id="19" w:author="ZTE" w:date="2024-08-22T19:43:29Z">
        <w:r>
          <w:rPr>
            <w:rFonts w:hint="eastAsia" w:eastAsia="宋体"/>
            <w:lang w:val="en-US" w:eastAsia="zh-CN"/>
          </w:rPr>
          <w:t>connect</w:t>
        </w:r>
      </w:ins>
      <w:ins w:id="20" w:author="ZTE" w:date="2024-08-22T19:43:29Z">
        <w:r>
          <w:rPr/>
          <w:t xml:space="preserve"> to </w:t>
        </w:r>
      </w:ins>
      <w:ins w:id="21" w:author="ZTE" w:date="2024-08-22T19:43:29Z">
        <w:r>
          <w:rPr>
            <w:rFonts w:eastAsia="宋体"/>
            <w:lang w:val="en-US" w:eastAsia="zh-CN"/>
          </w:rPr>
          <w:t>the same</w:t>
        </w:r>
      </w:ins>
      <w:ins w:id="22" w:author="ZTE" w:date="2024-08-22T19:43:29Z">
        <w:r>
          <w:rPr/>
          <w:t xml:space="preserve"> IAB-donor-CU</w:t>
        </w:r>
      </w:ins>
      <w:ins w:id="23" w:author="ZTE" w:date="2024-08-22T19:43:32Z">
        <w:r>
          <w:rPr>
            <w:rFonts w:hint="eastAsia" w:eastAsia="宋体"/>
            <w:lang w:val="en-US" w:eastAsia="zh-CN"/>
          </w:rPr>
          <w:t xml:space="preserve"> </w:t>
        </w:r>
      </w:ins>
      <w:r>
        <w:t>to the IAB-donor-CU, the IAB-donor-CU receives the authorization status of the IAB-node from the 5GC. Upon reception of the authorization status, the IAB-donor-CU performs the same steps described in clause 8.9.17.2.1.</w:t>
      </w:r>
    </w:p>
    <w:p w14:paraId="777560A8">
      <w:r>
        <w:t>In case the IAB-node is dual-connected to a non-IAB-</w:t>
      </w:r>
      <w:del w:id="24" w:author="ZTE" w:date="2024-08-22T19:47:29Z">
        <w:r>
          <w:rPr>
            <w:rFonts w:hint="default"/>
            <w:lang w:val="en-US"/>
          </w:rPr>
          <w:delText>capable</w:delText>
        </w:r>
      </w:del>
      <w:ins w:id="25" w:author="ZTE" w:date="2024-08-22T19:47:29Z">
        <w:r>
          <w:rPr>
            <w:rFonts w:hint="eastAsia" w:eastAsia="宋体"/>
            <w:lang w:val="en-US" w:eastAsia="zh-CN"/>
          </w:rPr>
          <w:t>do</w:t>
        </w:r>
      </w:ins>
      <w:ins w:id="26" w:author="ZTE" w:date="2024-08-22T19:47:30Z">
        <w:r>
          <w:rPr>
            <w:rFonts w:hint="eastAsia" w:eastAsia="宋体"/>
            <w:lang w:val="en-US" w:eastAsia="zh-CN"/>
          </w:rPr>
          <w:t>nor</w:t>
        </w:r>
      </w:ins>
      <w:r>
        <w:t xml:space="preserve"> gNB and to an IAB-donor</w:t>
      </w:r>
      <w:del w:id="27" w:author="ZTE" w:date="2024-08-22T19:47:34Z">
        <w:r>
          <w:rPr/>
          <w:delText>-CU</w:delText>
        </w:r>
      </w:del>
      <w:r>
        <w:t>, the MN receives the authorization status of the IAB-node from the 5GC. If the MN is the non-IAB-</w:t>
      </w:r>
      <w:del w:id="28" w:author="ZTE" w:date="2024-08-22T19:47:40Z">
        <w:r>
          <w:rPr>
            <w:rFonts w:hint="default"/>
            <w:lang w:val="en-US"/>
          </w:rPr>
          <w:delText>capable</w:delText>
        </w:r>
      </w:del>
      <w:ins w:id="29" w:author="ZTE" w:date="2024-08-22T19:47:40Z">
        <w:r>
          <w:rPr>
            <w:rFonts w:hint="eastAsia" w:eastAsia="宋体"/>
            <w:lang w:val="en-US" w:eastAsia="zh-CN"/>
          </w:rPr>
          <w:t>donor</w:t>
        </w:r>
      </w:ins>
      <w:r>
        <w:t xml:space="preserve"> gNB and the SN is the IAB-donor</w:t>
      </w:r>
      <w:del w:id="30" w:author="ZTE" w:date="2024-08-22T19:47:46Z">
        <w:r>
          <w:rPr/>
          <w:delText>-CU</w:delText>
        </w:r>
      </w:del>
      <w:r>
        <w:t xml:space="preserve">, the MN forwards the authorization status to the </w:t>
      </w:r>
      <w:del w:id="31" w:author="ZTE" w:date="2024-08-22T19:47:54Z">
        <w:r>
          <w:rPr>
            <w:rFonts w:hint="default"/>
            <w:lang w:val="en-US"/>
          </w:rPr>
          <w:delText>IAB-donor-CU</w:delText>
        </w:r>
      </w:del>
      <w:ins w:id="32" w:author="ZTE" w:date="2024-08-22T19:47:55Z">
        <w:r>
          <w:rPr>
            <w:rFonts w:hint="eastAsia" w:eastAsia="宋体"/>
            <w:lang w:val="en-US" w:eastAsia="zh-CN"/>
          </w:rPr>
          <w:t>S</w:t>
        </w:r>
      </w:ins>
      <w:ins w:id="33" w:author="ZTE" w:date="2024-08-22T19:47:56Z">
        <w:r>
          <w:rPr>
            <w:rFonts w:hint="eastAsia" w:eastAsia="宋体"/>
            <w:lang w:val="en-US" w:eastAsia="zh-CN"/>
          </w:rPr>
          <w:t>N</w:t>
        </w:r>
      </w:ins>
      <w:r>
        <w:t xml:space="preserve"> in the S-NODE ADDITION REQUEST message or S-NODE MODIFICATION REQUEST message. Upon reception of the authorization status, the IAB-donor-CU performs the same steps described in clause 8.9.17.2.1. If the updated authorization status is “not authorized”, the SN may indicate to the MN that the actions of removing the UEs and descendant nodes, releasing the F1 interface and backhaul resources for the IAB-node have been completed, by sending a S-NODE MODIFICATION REQUIRED or S-NODE RELEASE REQUIRED message with the corresponding cause value included. Then, t</w:t>
      </w:r>
      <w:r>
        <w:rPr>
          <w:rFonts w:hint="eastAsia"/>
        </w:rPr>
        <w:t>he</w:t>
      </w:r>
      <w:r>
        <w:t xml:space="preserve"> MN may indicate to the 5GC </w:t>
      </w:r>
      <w:r>
        <w:rPr>
          <w:rFonts w:hint="eastAsia"/>
        </w:rPr>
        <w:t>that</w:t>
      </w:r>
      <w:r>
        <w:t xml:space="preserve"> </w:t>
      </w:r>
      <w:r>
        <w:rPr>
          <w:rFonts w:hint="eastAsia"/>
        </w:rPr>
        <w:t>the</w:t>
      </w:r>
      <w:r>
        <w:t xml:space="preserve"> </w:t>
      </w:r>
      <w:r>
        <w:rPr>
          <w:rFonts w:hint="eastAsia"/>
        </w:rPr>
        <w:t>IAB</w:t>
      </w:r>
      <w:r>
        <w:t>-</w:t>
      </w:r>
      <w:r>
        <w:rPr>
          <w:rFonts w:hint="eastAsia"/>
        </w:rPr>
        <w:t>MT</w:t>
      </w:r>
      <w:r>
        <w:t xml:space="preserve"> </w:t>
      </w:r>
      <w:r>
        <w:rPr>
          <w:rFonts w:hint="eastAsia"/>
        </w:rPr>
        <w:t>can</w:t>
      </w:r>
      <w:r>
        <w:t xml:space="preserve"> be de-registered. If the MN is the IAB-donor</w:t>
      </w:r>
      <w:del w:id="34" w:author="ZTE" w:date="2024-08-22T19:48:19Z">
        <w:r>
          <w:rPr/>
          <w:delText>-C</w:delText>
        </w:r>
      </w:del>
      <w:del w:id="35" w:author="ZTE" w:date="2024-08-22T19:48:18Z">
        <w:r>
          <w:rPr/>
          <w:delText>U</w:delText>
        </w:r>
      </w:del>
      <w:r>
        <w:t xml:space="preserve"> and the SN is </w:t>
      </w:r>
      <w:del w:id="36" w:author="ZTE" w:date="2024-08-22T19:48:25Z">
        <w:r>
          <w:rPr/>
          <w:delText xml:space="preserve">not </w:delText>
        </w:r>
      </w:del>
      <w:r>
        <w:t>the non-IAB-</w:t>
      </w:r>
      <w:ins w:id="37" w:author="ZTE" w:date="2024-08-22T19:48:35Z">
        <w:r>
          <w:rPr>
            <w:rFonts w:hint="eastAsia" w:eastAsia="宋体"/>
            <w:lang w:val="en-US" w:eastAsia="zh-CN"/>
          </w:rPr>
          <w:t>d</w:t>
        </w:r>
      </w:ins>
      <w:ins w:id="38" w:author="ZTE" w:date="2024-08-22T19:48:36Z">
        <w:r>
          <w:rPr>
            <w:rFonts w:hint="eastAsia" w:eastAsia="宋体"/>
            <w:lang w:val="en-US" w:eastAsia="zh-CN"/>
          </w:rPr>
          <w:t>onor</w:t>
        </w:r>
      </w:ins>
      <w:del w:id="39" w:author="ZTE" w:date="2024-08-22T19:48:33Z">
        <w:r>
          <w:rPr/>
          <w:delText>capable</w:delText>
        </w:r>
      </w:del>
      <w:r>
        <w:t xml:space="preserve"> gNB, the IAB-donor-CU performs the same steps described in clause 8.9.17.2.1.</w:t>
      </w:r>
    </w:p>
    <w:bookmarkEnd w:id="40"/>
    <w:p w14:paraId="3D9A3F57">
      <w:pPr>
        <w:pStyle w:val="5"/>
      </w:pPr>
      <w:bookmarkStart w:id="41" w:name="_CR8_9_17_3"/>
      <w:bookmarkEnd w:id="41"/>
      <w:bookmarkStart w:id="42" w:name="_Toc170728579"/>
      <w:r>
        <w:t>8.9.17.3</w:t>
      </w:r>
      <w:r>
        <w:tab/>
      </w:r>
      <w:r>
        <w:t>IAB-node is served by two IAB-donors in SA</w:t>
      </w:r>
      <w:bookmarkEnd w:id="42"/>
    </w:p>
    <w:p w14:paraId="7C9A0907">
      <w:pPr>
        <w:rPr>
          <w:ins w:id="40" w:author="ZTE" w:date="2024-08-22T19:49:24Z"/>
        </w:rPr>
      </w:pPr>
      <w:r>
        <w:t>In case the IAB-MT only connects to the non-F1-terminating IAB-donor-CU</w:t>
      </w:r>
      <w:del w:id="41" w:author="ZTE" w:date="2024-08-22T19:49:18Z">
        <w:r>
          <w:rPr/>
          <w:delText xml:space="preserve"> or in case the IAB-MT is NR dual-connected with the non-F1-terminating IAB-donor-CU as the MN</w:delText>
        </w:r>
      </w:del>
      <w:r>
        <w:t xml:space="preserve">, the non-F1-terminating IAB-donor-CU sends the authorization status received from the 5GC to the F1-terminating IAB-donor-CU in the IAB-TRANPORT MIGRATION MODIFICATION REQUEST message. </w:t>
      </w:r>
      <w:ins w:id="42" w:author="CATT" w:date="2024-08-22T13:38:00Z">
        <w:bookmarkStart w:id="43" w:name="_GoBack"/>
        <w:bookmarkEnd w:id="43"/>
        <w:r>
          <w:rPr/>
          <w:t>When</w:t>
        </w:r>
      </w:ins>
      <w:ins w:id="43" w:author="CATT" w:date="2024-08-22T13:35:00Z">
        <w:r>
          <w:rPr/>
          <w:t xml:space="preserve"> the IAB-MT is NR dual-connected,</w:t>
        </w:r>
      </w:ins>
      <w:ins w:id="44" w:author="CATT" w:date="2024-08-22T13:35:00Z">
        <w:r>
          <w:rPr>
            <w:rFonts w:hint="eastAsia" w:eastAsia="宋体"/>
            <w:lang w:val="en-US" w:eastAsia="zh-CN"/>
          </w:rPr>
          <w:t xml:space="preserve"> the MN receives </w:t>
        </w:r>
      </w:ins>
      <w:ins w:id="45" w:author="CATT" w:date="2024-08-22T13:35:00Z">
        <w:r>
          <w:rPr/>
          <w:t>authorization status of the IAB-node from the 5GC</w:t>
        </w:r>
      </w:ins>
      <w:ins w:id="46" w:author="ZTE" w:date="2024-08-22T20:21:51Z">
        <w:r>
          <w:rPr>
            <w:rFonts w:hint="eastAsia" w:eastAsia="宋体"/>
            <w:lang w:val="en-US" w:eastAsia="zh-CN"/>
          </w:rPr>
          <w:t xml:space="preserve">. </w:t>
        </w:r>
      </w:ins>
      <w:ins w:id="47" w:author="ZTE" w:date="2024-08-22T19:50:40Z">
        <w:r>
          <w:rPr/>
          <w:t>In case the MN is the non-F1-terminating IAB-donor and the SN is the F1-terminating IAB-donor, the MN forward</w:t>
        </w:r>
      </w:ins>
      <w:ins w:id="48" w:author="ZTE" w:date="2024-08-22T19:50:40Z">
        <w:r>
          <w:rPr>
            <w:rFonts w:hint="eastAsia" w:eastAsia="宋体"/>
            <w:lang w:val="en-US" w:eastAsia="zh-CN"/>
          </w:rPr>
          <w:t>s</w:t>
        </w:r>
      </w:ins>
      <w:ins w:id="49" w:author="ZTE" w:date="2024-08-22T19:50:40Z">
        <w:r>
          <w:rPr/>
          <w:t xml:space="preserve"> the authorization status</w:t>
        </w:r>
      </w:ins>
      <w:ins w:id="50" w:author="ZTE" w:date="2024-08-22T19:50:40Z">
        <w:r>
          <w:rPr>
            <w:rFonts w:hint="eastAsia" w:eastAsia="宋体"/>
            <w:lang w:val="en-US" w:eastAsia="zh-CN"/>
          </w:rPr>
          <w:t xml:space="preserve"> </w:t>
        </w:r>
      </w:ins>
      <w:ins w:id="51" w:author="ZTE" w:date="2024-08-22T19:50:40Z">
        <w:r>
          <w:rPr/>
          <w:t xml:space="preserve">to the </w:t>
        </w:r>
      </w:ins>
      <w:ins w:id="52" w:author="ZTE" w:date="2024-08-22T19:50:40Z">
        <w:r>
          <w:rPr>
            <w:rFonts w:hint="eastAsia" w:eastAsia="宋体"/>
            <w:lang w:val="en-US" w:eastAsia="zh-CN"/>
          </w:rPr>
          <w:t>SN</w:t>
        </w:r>
      </w:ins>
      <w:ins w:id="53" w:author="ZTE" w:date="2024-08-22T19:50:40Z">
        <w:r>
          <w:rPr/>
          <w:t xml:space="preserve"> via the S-NODE ADDITION REQUEST message, S-NODE MODIFICATION REQUEST message, or the IAB TRANSPORT MIGRATION MODIFICATION REQUEST message.</w:t>
        </w:r>
      </w:ins>
    </w:p>
    <w:p w14:paraId="2EA1EF11">
      <w:r>
        <w:t xml:space="preserve">Upon reception of the authorization status, the F1-terminating IAB-donor-CU performs the same steps described in clause 8.9.17.2.1.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 The </w:t>
      </w:r>
      <w:ins w:id="54" w:author="ZTE" w:date="2024-08-22T19:53:56Z">
        <w:r>
          <w:rPr/>
          <w:t>F1-terminating IAB-donor-CU</w:t>
        </w:r>
      </w:ins>
      <w:ins w:id="55" w:author="ZTE" w:date="2024-08-22T19:53:56Z">
        <w:r>
          <w:rPr>
            <w:rFonts w:hint="eastAsia" w:eastAsia="宋体"/>
            <w:lang w:val="en-US" w:eastAsia="zh-CN"/>
          </w:rPr>
          <w:t xml:space="preserve"> or</w:t>
        </w:r>
      </w:ins>
      <w:ins w:id="56" w:author="ZTE" w:date="2024-08-22T19:53:58Z">
        <w:r>
          <w:rPr>
            <w:rFonts w:hint="eastAsia" w:eastAsia="宋体"/>
            <w:lang w:val="en-US" w:eastAsia="zh-CN"/>
          </w:rPr>
          <w:t xml:space="preserve"> </w:t>
        </w:r>
      </w:ins>
      <w:r>
        <w:t>non-F1-terminating IAB-donor-CU then may indicate to the 5GC that the IAB-MT can be de-registered.</w:t>
      </w:r>
    </w:p>
    <w:p w14:paraId="0A0B192C">
      <w:pPr>
        <w:rPr>
          <w:del w:id="57" w:author="ZTE" w:date="2024-08-22T19:49:28Z"/>
        </w:rPr>
      </w:pPr>
      <w:del w:id="58" w:author="ZTE" w:date="2024-08-22T19:49:28Z">
        <w:r>
          <w:rPr/>
          <w:delText>In case the IAB-MT is NR dual-connected, where the MN is the F1-terminating IAB-donor-CU and the SN is a non-F1-terminating IAB-donor-CU, upon reception of the authorization status, the IAB-node’s authorization procedure follows the same steps as described in clause 8.9.17.2.1.</w:delText>
        </w:r>
      </w:del>
    </w:p>
    <w:p w14:paraId="0B2F30B3"/>
    <w:p w14:paraId="3D9A3F5C">
      <w:pPr>
        <w:jc w:val="center"/>
      </w:pPr>
      <w:r>
        <w:rPr>
          <w:highlight w:val="yellow"/>
        </w:rPr>
        <w:t>-------------------------------------------</w:t>
      </w:r>
      <w:r>
        <w:rPr>
          <w:rFonts w:hint="eastAsia" w:eastAsia="宋体"/>
          <w:highlight w:val="yellow"/>
          <w:lang w:val="en-US" w:eastAsia="zh-CN"/>
        </w:rPr>
        <w:t xml:space="preserve">End of </w:t>
      </w:r>
      <w:r>
        <w:rPr>
          <w:highlight w:val="yellow"/>
        </w:rPr>
        <w:t>change-------------------------------------------</w:t>
      </w:r>
    </w:p>
    <w:p w14:paraId="3D9A3F5D">
      <w:pPr>
        <w:jc w:val="center"/>
        <w:rPr>
          <w:highlight w:val="yellow"/>
        </w:rPr>
      </w:pPr>
    </w:p>
    <w:p w14:paraId="3D9A3F5E">
      <w:pPr>
        <w:keepLines/>
        <w:rPr>
          <w:lang w:eastAsia="ko-KR"/>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Symbol"/>
    <w:panose1 w:val="00000000000000000000"/>
    <w:charset w:val="4D"/>
    <w:family w:val="auto"/>
    <w:pitch w:val="default"/>
    <w:sig w:usb0="00000000" w:usb1="00000000" w:usb2="00000000" w:usb3="00000000" w:csb0="8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B">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3D9A3F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5AB07"/>
    <w:multiLevelType w:val="singleLevel"/>
    <w:tmpl w:val="9565AB07"/>
    <w:lvl w:ilvl="0" w:tentative="0">
      <w:start w:val="1"/>
      <w:numFmt w:val="decimal"/>
      <w:suff w:val="space"/>
      <w:lvlText w:val="%1."/>
      <w:lvlJc w:val="left"/>
    </w:lvl>
  </w:abstractNum>
  <w:abstractNum w:abstractNumId="1">
    <w:nsid w:val="EEE6FD78"/>
    <w:multiLevelType w:val="singleLevel"/>
    <w:tmpl w:val="EEE6FD78"/>
    <w:lvl w:ilvl="0" w:tentative="0">
      <w:start w:val="1"/>
      <w:numFmt w:val="decimal"/>
      <w:suff w:val="space"/>
      <w:lvlText w:val="%1."/>
      <w:lvlJc w:val="left"/>
    </w:lvl>
  </w:abstractNum>
  <w:abstractNum w:abstractNumId="2">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ualcomm">
    <w15:presenceInfo w15:providerId="None" w15:userId="Qualcomm"/>
  </w15:person>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4NjA5NGI2OTUwMzUxNzZkMTNlZTQwMTNhYmY1Nz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6F7"/>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9F2"/>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A7F7C"/>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543"/>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AD7"/>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0E"/>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072"/>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0FF7"/>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4F98"/>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2C5"/>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15754F6"/>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513BEF"/>
    <w:rsid w:val="09954E1E"/>
    <w:rsid w:val="09A50353"/>
    <w:rsid w:val="09C0571E"/>
    <w:rsid w:val="0A3858CF"/>
    <w:rsid w:val="0A4A10FB"/>
    <w:rsid w:val="0A4F2914"/>
    <w:rsid w:val="0A7E7FA9"/>
    <w:rsid w:val="0B1936C6"/>
    <w:rsid w:val="0B434BAB"/>
    <w:rsid w:val="0BED601C"/>
    <w:rsid w:val="0BFF08FA"/>
    <w:rsid w:val="0C36171A"/>
    <w:rsid w:val="0C403756"/>
    <w:rsid w:val="0D044734"/>
    <w:rsid w:val="0D056F2E"/>
    <w:rsid w:val="0D16347A"/>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8A361F8"/>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CE43C8A"/>
    <w:rsid w:val="1D465490"/>
    <w:rsid w:val="1D522645"/>
    <w:rsid w:val="1D5860F0"/>
    <w:rsid w:val="1E0C67F9"/>
    <w:rsid w:val="1E142AB0"/>
    <w:rsid w:val="1E4C4AC1"/>
    <w:rsid w:val="1EAF7AD9"/>
    <w:rsid w:val="1EE4776A"/>
    <w:rsid w:val="1EF534EF"/>
    <w:rsid w:val="1F06578D"/>
    <w:rsid w:val="1F0C2BAF"/>
    <w:rsid w:val="1F9545D6"/>
    <w:rsid w:val="1FF24F3A"/>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763E84"/>
    <w:rsid w:val="26A903EB"/>
    <w:rsid w:val="27161207"/>
    <w:rsid w:val="27405ECB"/>
    <w:rsid w:val="275F63BD"/>
    <w:rsid w:val="27631714"/>
    <w:rsid w:val="27CB7955"/>
    <w:rsid w:val="27D8674D"/>
    <w:rsid w:val="287B4D47"/>
    <w:rsid w:val="287F1345"/>
    <w:rsid w:val="29124CA8"/>
    <w:rsid w:val="29504161"/>
    <w:rsid w:val="29F1306A"/>
    <w:rsid w:val="2A1D3046"/>
    <w:rsid w:val="2A43422C"/>
    <w:rsid w:val="2AAB4FD5"/>
    <w:rsid w:val="2BAC3BE8"/>
    <w:rsid w:val="2BB8335E"/>
    <w:rsid w:val="2BE2044A"/>
    <w:rsid w:val="2C233B58"/>
    <w:rsid w:val="2C3C5C02"/>
    <w:rsid w:val="2C604AAB"/>
    <w:rsid w:val="2CA17D28"/>
    <w:rsid w:val="2CCE2F25"/>
    <w:rsid w:val="2D212EB9"/>
    <w:rsid w:val="2D616C39"/>
    <w:rsid w:val="2D6D4292"/>
    <w:rsid w:val="2E18244E"/>
    <w:rsid w:val="2E4311E3"/>
    <w:rsid w:val="2E580034"/>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5D73239"/>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A9E14C4"/>
    <w:rsid w:val="3B1757C6"/>
    <w:rsid w:val="3B3D652C"/>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EAD2594"/>
    <w:rsid w:val="3F324C53"/>
    <w:rsid w:val="3F7C242A"/>
    <w:rsid w:val="3FB138C5"/>
    <w:rsid w:val="412555DD"/>
    <w:rsid w:val="421D7172"/>
    <w:rsid w:val="42B50D0A"/>
    <w:rsid w:val="4302576A"/>
    <w:rsid w:val="436F5E7F"/>
    <w:rsid w:val="439D1B66"/>
    <w:rsid w:val="43D042D5"/>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BB5351F"/>
    <w:rsid w:val="4C55370E"/>
    <w:rsid w:val="4C586072"/>
    <w:rsid w:val="4CC4300C"/>
    <w:rsid w:val="4CCF5321"/>
    <w:rsid w:val="4D2D68AF"/>
    <w:rsid w:val="4DC926A0"/>
    <w:rsid w:val="4DE56DAD"/>
    <w:rsid w:val="4E08206F"/>
    <w:rsid w:val="4EA43465"/>
    <w:rsid w:val="4EE154B9"/>
    <w:rsid w:val="4F7100F9"/>
    <w:rsid w:val="4F783EAC"/>
    <w:rsid w:val="500D2ED6"/>
    <w:rsid w:val="505F6398"/>
    <w:rsid w:val="506061DA"/>
    <w:rsid w:val="50691547"/>
    <w:rsid w:val="508079B8"/>
    <w:rsid w:val="50B014E3"/>
    <w:rsid w:val="51133395"/>
    <w:rsid w:val="51863118"/>
    <w:rsid w:val="51DF119C"/>
    <w:rsid w:val="526A12E9"/>
    <w:rsid w:val="528E031D"/>
    <w:rsid w:val="529266A3"/>
    <w:rsid w:val="537C62DA"/>
    <w:rsid w:val="53B547E4"/>
    <w:rsid w:val="53BD2563"/>
    <w:rsid w:val="54022EA2"/>
    <w:rsid w:val="54412D2A"/>
    <w:rsid w:val="5485692B"/>
    <w:rsid w:val="550F4A2D"/>
    <w:rsid w:val="55123589"/>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746389"/>
    <w:rsid w:val="5DB20802"/>
    <w:rsid w:val="5E367243"/>
    <w:rsid w:val="5E563D46"/>
    <w:rsid w:val="5EC724E8"/>
    <w:rsid w:val="5EEF17D5"/>
    <w:rsid w:val="5EF02BBA"/>
    <w:rsid w:val="5F022486"/>
    <w:rsid w:val="5F7A1DE0"/>
    <w:rsid w:val="5F7F3A9C"/>
    <w:rsid w:val="5F996801"/>
    <w:rsid w:val="601C5DF8"/>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D46C82"/>
    <w:rsid w:val="66FF2B3D"/>
    <w:rsid w:val="67E056D8"/>
    <w:rsid w:val="67EB6D3C"/>
    <w:rsid w:val="67EE3338"/>
    <w:rsid w:val="68301BB8"/>
    <w:rsid w:val="68D060F0"/>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9269E"/>
    <w:rsid w:val="6E5F7C36"/>
    <w:rsid w:val="6E60786D"/>
    <w:rsid w:val="6E8158BD"/>
    <w:rsid w:val="6F4624AF"/>
    <w:rsid w:val="6F641A8B"/>
    <w:rsid w:val="6F67055E"/>
    <w:rsid w:val="6F7F1E7E"/>
    <w:rsid w:val="6FA4272F"/>
    <w:rsid w:val="703B4227"/>
    <w:rsid w:val="708E79BE"/>
    <w:rsid w:val="709370FE"/>
    <w:rsid w:val="70C74EBB"/>
    <w:rsid w:val="71600AA7"/>
    <w:rsid w:val="71E84368"/>
    <w:rsid w:val="71EA6D75"/>
    <w:rsid w:val="72067DC5"/>
    <w:rsid w:val="72560DCD"/>
    <w:rsid w:val="72C02880"/>
    <w:rsid w:val="733C6B2C"/>
    <w:rsid w:val="735603CF"/>
    <w:rsid w:val="738A00D8"/>
    <w:rsid w:val="73D023CB"/>
    <w:rsid w:val="73E37E45"/>
    <w:rsid w:val="73F11556"/>
    <w:rsid w:val="73FA42D5"/>
    <w:rsid w:val="741F30D0"/>
    <w:rsid w:val="74200E27"/>
    <w:rsid w:val="74946771"/>
    <w:rsid w:val="74DA4938"/>
    <w:rsid w:val="751D45A2"/>
    <w:rsid w:val="7536480C"/>
    <w:rsid w:val="760237DD"/>
    <w:rsid w:val="766461BC"/>
    <w:rsid w:val="772F2DF9"/>
    <w:rsid w:val="775B110B"/>
    <w:rsid w:val="778C2D91"/>
    <w:rsid w:val="77CB3044"/>
    <w:rsid w:val="77F4344E"/>
    <w:rsid w:val="785F3756"/>
    <w:rsid w:val="78D55C66"/>
    <w:rsid w:val="793609A7"/>
    <w:rsid w:val="793D60B1"/>
    <w:rsid w:val="799652F6"/>
    <w:rsid w:val="79D80E11"/>
    <w:rsid w:val="7A6B5A5E"/>
    <w:rsid w:val="7AB13656"/>
    <w:rsid w:val="7AB91DA7"/>
    <w:rsid w:val="7AFB1494"/>
    <w:rsid w:val="7B20013A"/>
    <w:rsid w:val="7B434B11"/>
    <w:rsid w:val="7B7C5A2A"/>
    <w:rsid w:val="7BA826F1"/>
    <w:rsid w:val="7BCC3F01"/>
    <w:rsid w:val="7C6674D2"/>
    <w:rsid w:val="7C7D6C58"/>
    <w:rsid w:val="7CB360E2"/>
    <w:rsid w:val="7D3F64CB"/>
    <w:rsid w:val="7D854AB7"/>
    <w:rsid w:val="7D916782"/>
    <w:rsid w:val="7DA80357"/>
    <w:rsid w:val="7DAA0064"/>
    <w:rsid w:val="7DFB3B32"/>
    <w:rsid w:val="7E144E72"/>
    <w:rsid w:val="7E5C4DCC"/>
    <w:rsid w:val="7ECB45DE"/>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87"/>
    <w:qFormat/>
    <w:uiPriority w:val="0"/>
    <w:pPr>
      <w:keepNext/>
      <w:keepLines/>
      <w:pBdr>
        <w:top w:val="single" w:color="auto" w:sz="12" w:space="3"/>
      </w:pBdr>
      <w:spacing w:before="240"/>
      <w:ind w:left="1134" w:hanging="1134"/>
      <w:outlineLvl w:val="0"/>
    </w:pPr>
    <w:rPr>
      <w:rFonts w:ascii="Arial" w:hAnsi="Arial"/>
      <w:sz w:val="36"/>
      <w:lang w:eastAsia="en-GB"/>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3"/>
    <w:hidden/>
    <w:semiHidden/>
    <w:qFormat/>
    <w:uiPriority w:val="99"/>
    <w:rPr>
      <w:rFonts w:ascii="Times New Roman" w:hAnsi="Times New Roman" w:eastAsia="Times New Roman" w:cs="Times New Roman"/>
      <w:lang w:val="en-GB" w:eastAsia="ja-JP" w:bidi="ar-SA"/>
    </w:rPr>
  </w:style>
  <w:style w:type="paragraph" w:customStyle="1" w:styleId="132">
    <w:name w:val="Revision4"/>
    <w:hidden/>
    <w:unhideWhenUsed/>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4</Pages>
  <Words>1506</Words>
  <Characters>8801</Characters>
  <Lines>77</Lines>
  <Paragraphs>21</Paragraphs>
  <TotalTime>0</TotalTime>
  <ScaleCrop>false</ScaleCrop>
  <LinksUpToDate>false</LinksUpToDate>
  <CharactersWithSpaces>10211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2024-08-22T12:22:22Z</dcterms:modified>
  <dc:subject>NR; Radio Resource Control (RRC) protocol specification (Release 15)</dc:subject>
  <dc:title>3GPP TS 38.331</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2052-12.1.0.17857</vt:lpwstr>
  </property>
  <property fmtid="{D5CDD505-2E9C-101B-9397-08002B2CF9AE}" pid="66" name="ICV">
    <vt:lpwstr>14DEA8E6765849E3B7DD407F4DBFE731_13</vt:lpwstr>
  </property>
  <property fmtid="{D5CDD505-2E9C-101B-9397-08002B2CF9AE}" pid="67" name="_2015_ms_pID_7253432">
    <vt:lpwstr>Ng==</vt:lpwstr>
  </property>
</Properties>
</file>